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6246" w14:textId="05E7E5B6" w:rsidR="008233C7" w:rsidRDefault="00C714DD" w:rsidP="009B7C47">
      <w:pPr>
        <w:spacing w:after="0" w:line="240" w:lineRule="auto"/>
      </w:pPr>
      <w:r>
        <w:rPr>
          <w:noProof/>
          <w:lang w:eastAsia="en-GB"/>
        </w:rPr>
        <w:drawing>
          <wp:anchor distT="0" distB="0" distL="114300" distR="114300" simplePos="0" relativeHeight="251664384" behindDoc="1" locked="0" layoutInCell="1" allowOverlap="1" wp14:anchorId="2C641F5B" wp14:editId="1813AE4B">
            <wp:simplePos x="0" y="0"/>
            <wp:positionH relativeFrom="column">
              <wp:posOffset>0</wp:posOffset>
            </wp:positionH>
            <wp:positionV relativeFrom="paragraph">
              <wp:posOffset>0</wp:posOffset>
            </wp:positionV>
            <wp:extent cx="3694222" cy="1499499"/>
            <wp:effectExtent l="0" t="0" r="190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DC-Logo-L-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3935" cy="1507500"/>
                    </a:xfrm>
                    <a:prstGeom prst="rect">
                      <a:avLst/>
                    </a:prstGeom>
                  </pic:spPr>
                </pic:pic>
              </a:graphicData>
            </a:graphic>
            <wp14:sizeRelH relativeFrom="margin">
              <wp14:pctWidth>0</wp14:pctWidth>
            </wp14:sizeRelH>
            <wp14:sizeRelV relativeFrom="margin">
              <wp14:pctHeight>0</wp14:pctHeight>
            </wp14:sizeRelV>
          </wp:anchor>
        </w:drawing>
      </w:r>
    </w:p>
    <w:p w14:paraId="2A11C31D" w14:textId="77777777" w:rsidR="008233C7" w:rsidRDefault="008233C7" w:rsidP="009B7C47">
      <w:pPr>
        <w:pStyle w:val="Heading1"/>
        <w:numPr>
          <w:ilvl w:val="0"/>
          <w:numId w:val="0"/>
        </w:numPr>
        <w:spacing w:before="0" w:after="0"/>
        <w:ind w:left="709"/>
      </w:pPr>
    </w:p>
    <w:p w14:paraId="06770568" w14:textId="77777777" w:rsidR="008233C7" w:rsidRDefault="008233C7" w:rsidP="009B7C47">
      <w:pPr>
        <w:pStyle w:val="Heading1"/>
        <w:numPr>
          <w:ilvl w:val="0"/>
          <w:numId w:val="0"/>
        </w:numPr>
        <w:spacing w:before="0" w:after="0"/>
        <w:ind w:left="709"/>
      </w:pPr>
    </w:p>
    <w:p w14:paraId="1F172067" w14:textId="77777777" w:rsidR="008233C7" w:rsidRDefault="008233C7" w:rsidP="009B7C47">
      <w:pPr>
        <w:pStyle w:val="Heading1"/>
        <w:numPr>
          <w:ilvl w:val="0"/>
          <w:numId w:val="0"/>
        </w:numPr>
        <w:spacing w:before="0" w:after="0"/>
        <w:ind w:left="709"/>
      </w:pPr>
    </w:p>
    <w:p w14:paraId="5542DD0B" w14:textId="69F6F5BD" w:rsidR="008233C7" w:rsidRDefault="008233C7" w:rsidP="009B7C47">
      <w:pPr>
        <w:pStyle w:val="Heading1"/>
        <w:numPr>
          <w:ilvl w:val="0"/>
          <w:numId w:val="0"/>
        </w:numPr>
        <w:spacing w:before="0" w:after="0"/>
        <w:ind w:left="709"/>
      </w:pPr>
    </w:p>
    <w:p w14:paraId="25119192" w14:textId="0919C8CF" w:rsidR="008233C7" w:rsidRDefault="008233C7" w:rsidP="009B7C47">
      <w:pPr>
        <w:pStyle w:val="Heading1"/>
        <w:numPr>
          <w:ilvl w:val="0"/>
          <w:numId w:val="0"/>
        </w:numPr>
        <w:spacing w:before="0" w:after="0"/>
        <w:ind w:left="709"/>
      </w:pPr>
    </w:p>
    <w:p w14:paraId="2E0A5FCA" w14:textId="77777777" w:rsidR="008233C7" w:rsidRDefault="008233C7" w:rsidP="009B7C47">
      <w:pPr>
        <w:pStyle w:val="Heading1"/>
        <w:numPr>
          <w:ilvl w:val="0"/>
          <w:numId w:val="0"/>
        </w:numPr>
        <w:spacing w:before="0" w:after="0"/>
        <w:ind w:left="709"/>
      </w:pPr>
    </w:p>
    <w:p w14:paraId="5F098260" w14:textId="27F98CCF" w:rsidR="008233C7" w:rsidRDefault="008233C7" w:rsidP="009B7C47">
      <w:pPr>
        <w:pStyle w:val="Heading1"/>
        <w:numPr>
          <w:ilvl w:val="0"/>
          <w:numId w:val="0"/>
        </w:numPr>
        <w:spacing w:before="0" w:after="0"/>
        <w:ind w:left="709"/>
      </w:pPr>
    </w:p>
    <w:p w14:paraId="0ADB8D59" w14:textId="7F1E2F2E" w:rsidR="008233C7" w:rsidRDefault="008233C7" w:rsidP="009B7C47">
      <w:pPr>
        <w:pStyle w:val="Heading1"/>
        <w:numPr>
          <w:ilvl w:val="0"/>
          <w:numId w:val="0"/>
        </w:numPr>
        <w:spacing w:before="0" w:after="0"/>
        <w:ind w:left="709"/>
      </w:pPr>
    </w:p>
    <w:p w14:paraId="23CA3519" w14:textId="0EF1ED67" w:rsidR="008233C7" w:rsidRDefault="008233C7" w:rsidP="009B7C47">
      <w:pPr>
        <w:pStyle w:val="Heading1"/>
        <w:numPr>
          <w:ilvl w:val="0"/>
          <w:numId w:val="0"/>
        </w:numPr>
        <w:spacing w:before="0" w:after="0"/>
        <w:ind w:left="709"/>
      </w:pPr>
    </w:p>
    <w:p w14:paraId="5D7B318C" w14:textId="722D3034" w:rsidR="008233C7" w:rsidRDefault="008D4A0C" w:rsidP="009B7C47">
      <w:pPr>
        <w:pStyle w:val="Heading1"/>
        <w:numPr>
          <w:ilvl w:val="0"/>
          <w:numId w:val="0"/>
        </w:numPr>
        <w:spacing w:before="0" w:after="0"/>
        <w:ind w:left="709"/>
      </w:pPr>
      <w:bookmarkStart w:id="0" w:name="_Toc511817524"/>
      <w:bookmarkStart w:id="1" w:name="_Toc33620800"/>
      <w:bookmarkStart w:id="2" w:name="_Toc65078223"/>
      <w:r>
        <w:rPr>
          <w:noProof/>
          <w:lang w:eastAsia="en-GB"/>
        </w:rPr>
        <mc:AlternateContent>
          <mc:Choice Requires="wps">
            <w:drawing>
              <wp:anchor distT="0" distB="0" distL="114300" distR="114300" simplePos="0" relativeHeight="251662336" behindDoc="0" locked="0" layoutInCell="1" allowOverlap="1" wp14:anchorId="169AA943" wp14:editId="153E198A">
                <wp:simplePos x="0" y="0"/>
                <wp:positionH relativeFrom="column">
                  <wp:posOffset>-95250</wp:posOffset>
                </wp:positionH>
                <wp:positionV relativeFrom="paragraph">
                  <wp:posOffset>196850</wp:posOffset>
                </wp:positionV>
                <wp:extent cx="6522720" cy="7439660"/>
                <wp:effectExtent l="0" t="0" r="0" b="0"/>
                <wp:wrapTight wrapText="bothSides">
                  <wp:wrapPolygon edited="0">
                    <wp:start x="126" y="166"/>
                    <wp:lineTo x="126" y="21405"/>
                    <wp:lineTo x="21386" y="21405"/>
                    <wp:lineTo x="21386" y="166"/>
                    <wp:lineTo x="126" y="166"/>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743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67CC" w14:textId="77777777" w:rsidR="008D4A0C" w:rsidRDefault="008D4A0C" w:rsidP="00A5775C">
                            <w:pPr>
                              <w:spacing w:line="216" w:lineRule="auto"/>
                              <w:rPr>
                                <w:color w:val="0D0D0D" w:themeColor="text1" w:themeTint="F2"/>
                                <w:sz w:val="80"/>
                              </w:rPr>
                            </w:pPr>
                          </w:p>
                          <w:p w14:paraId="36BDA6D4" w14:textId="77777777" w:rsidR="008D4A0C" w:rsidRDefault="008D4A0C" w:rsidP="00A5775C">
                            <w:pPr>
                              <w:spacing w:line="216" w:lineRule="auto"/>
                              <w:rPr>
                                <w:color w:val="0D0D0D" w:themeColor="text1" w:themeTint="F2"/>
                                <w:sz w:val="80"/>
                              </w:rPr>
                            </w:pPr>
                          </w:p>
                          <w:p w14:paraId="3F43FEC3" w14:textId="77777777" w:rsidR="00F35AE0" w:rsidRDefault="00F35AE0" w:rsidP="008D4A0C">
                            <w:pPr>
                              <w:spacing w:line="216" w:lineRule="auto"/>
                              <w:jc w:val="center"/>
                              <w:rPr>
                                <w:color w:val="0D0D0D" w:themeColor="text1" w:themeTint="F2"/>
                                <w:sz w:val="80"/>
                              </w:rPr>
                            </w:pPr>
                            <w:r>
                              <w:rPr>
                                <w:color w:val="0D0D0D" w:themeColor="text1" w:themeTint="F2"/>
                                <w:sz w:val="80"/>
                              </w:rPr>
                              <w:t>Protecting Special Category Data Policy</w:t>
                            </w:r>
                          </w:p>
                          <w:p w14:paraId="2E916232" w14:textId="77777777" w:rsidR="00F35AE0" w:rsidRDefault="00F35AE0" w:rsidP="00A5775C">
                            <w:pPr>
                              <w:spacing w:line="216" w:lineRule="auto"/>
                              <w:rPr>
                                <w:color w:val="0D0D0D" w:themeColor="text1" w:themeTint="F2"/>
                                <w:sz w:val="80"/>
                              </w:rPr>
                            </w:pPr>
                          </w:p>
                          <w:p w14:paraId="1A70EC76" w14:textId="77777777" w:rsidR="00F35AE0" w:rsidRDefault="00F35AE0" w:rsidP="00A5775C">
                            <w:pPr>
                              <w:spacing w:line="216" w:lineRule="auto"/>
                              <w:rPr>
                                <w:color w:val="0D0D0D" w:themeColor="text1" w:themeTint="F2"/>
                                <w:sz w:val="80"/>
                              </w:rPr>
                            </w:pPr>
                          </w:p>
                          <w:p w14:paraId="792C2B9A" w14:textId="77777777" w:rsidR="00F35AE0" w:rsidRDefault="00F35AE0" w:rsidP="00A5775C">
                            <w:pPr>
                              <w:spacing w:line="216" w:lineRule="auto"/>
                              <w:rPr>
                                <w:color w:val="0D0D0D" w:themeColor="text1" w:themeTint="F2"/>
                                <w:sz w:val="80"/>
                              </w:rPr>
                            </w:pPr>
                          </w:p>
                          <w:p w14:paraId="2E91B0C0" w14:textId="77777777" w:rsidR="00F35AE0" w:rsidRDefault="00F35AE0" w:rsidP="00A5775C">
                            <w:pPr>
                              <w:spacing w:line="216" w:lineRule="auto"/>
                              <w:rPr>
                                <w:color w:val="0D0D0D" w:themeColor="text1" w:themeTint="F2"/>
                                <w:sz w:val="80"/>
                              </w:rPr>
                            </w:pPr>
                          </w:p>
                          <w:p w14:paraId="45CEF22F" w14:textId="77777777" w:rsidR="00A463BE" w:rsidRDefault="00A463BE" w:rsidP="00716F23">
                            <w:pPr>
                              <w:spacing w:line="216" w:lineRule="auto"/>
                              <w:rPr>
                                <w:color w:val="0D0D0D" w:themeColor="text1" w:themeTint="F2"/>
                                <w:szCs w:val="24"/>
                              </w:rPr>
                            </w:pPr>
                          </w:p>
                          <w:p w14:paraId="0E3EF7F7" w14:textId="77777777" w:rsidR="00A463BE" w:rsidRDefault="00A463BE" w:rsidP="00716F23">
                            <w:pPr>
                              <w:spacing w:line="216" w:lineRule="auto"/>
                              <w:rPr>
                                <w:color w:val="0D0D0D" w:themeColor="text1" w:themeTint="F2"/>
                                <w:szCs w:val="24"/>
                              </w:rPr>
                            </w:pPr>
                          </w:p>
                          <w:p w14:paraId="51025978" w14:textId="77777777" w:rsidR="00A463BE" w:rsidRDefault="00A463BE" w:rsidP="00716F23">
                            <w:pPr>
                              <w:spacing w:line="216" w:lineRule="auto"/>
                              <w:rPr>
                                <w:color w:val="0D0D0D" w:themeColor="text1" w:themeTint="F2"/>
                                <w:szCs w:val="24"/>
                              </w:rPr>
                            </w:pPr>
                          </w:p>
                          <w:p w14:paraId="48D47AF7" w14:textId="77777777" w:rsidR="00A463BE" w:rsidRDefault="00A463BE" w:rsidP="00716F23">
                            <w:pPr>
                              <w:spacing w:line="216" w:lineRule="auto"/>
                              <w:rPr>
                                <w:color w:val="0D0D0D" w:themeColor="text1" w:themeTint="F2"/>
                                <w:szCs w:val="24"/>
                              </w:rPr>
                            </w:pPr>
                          </w:p>
                          <w:p w14:paraId="790A4225" w14:textId="77777777" w:rsidR="00A463BE" w:rsidRDefault="00A463BE" w:rsidP="00716F23">
                            <w:pPr>
                              <w:spacing w:line="216" w:lineRule="auto"/>
                              <w:rPr>
                                <w:color w:val="0D0D0D" w:themeColor="text1" w:themeTint="F2"/>
                                <w:szCs w:val="24"/>
                              </w:rPr>
                            </w:pPr>
                          </w:p>
                          <w:p w14:paraId="160CE715" w14:textId="1A7E442D" w:rsidR="00F35AE0" w:rsidRDefault="00B210C4" w:rsidP="00716F23">
                            <w:pPr>
                              <w:spacing w:line="216" w:lineRule="auto"/>
                              <w:rPr>
                                <w:color w:val="0D0D0D" w:themeColor="text1" w:themeTint="F2"/>
                                <w:szCs w:val="24"/>
                              </w:rPr>
                            </w:pPr>
                            <w:r>
                              <w:rPr>
                                <w:color w:val="0D0D0D" w:themeColor="text1" w:themeTint="F2"/>
                                <w:szCs w:val="24"/>
                              </w:rPr>
                              <w:t>v.</w:t>
                            </w:r>
                            <w:r w:rsidR="00B84E1D">
                              <w:rPr>
                                <w:color w:val="0D0D0D" w:themeColor="text1" w:themeTint="F2"/>
                                <w:szCs w:val="24"/>
                              </w:rPr>
                              <w:t>3</w:t>
                            </w:r>
                            <w:r w:rsidR="00F35AE0">
                              <w:rPr>
                                <w:color w:val="0D0D0D" w:themeColor="text1" w:themeTint="F2"/>
                                <w:szCs w:val="24"/>
                              </w:rPr>
                              <w:t>.0</w:t>
                            </w:r>
                            <w:r w:rsidR="008D4A0C">
                              <w:rPr>
                                <w:color w:val="0D0D0D" w:themeColor="text1" w:themeTint="F2"/>
                                <w:szCs w:val="24"/>
                              </w:rPr>
                              <w:t xml:space="preserve"> October</w:t>
                            </w:r>
                            <w:r w:rsidR="00AD6AD2">
                              <w:rPr>
                                <w:color w:val="0D0D0D" w:themeColor="text1" w:themeTint="F2"/>
                                <w:szCs w:val="24"/>
                              </w:rPr>
                              <w:t xml:space="preserve"> 2023</w:t>
                            </w:r>
                          </w:p>
                          <w:p w14:paraId="0809CEC0" w14:textId="77777777" w:rsidR="00F35AE0" w:rsidRPr="008233C7" w:rsidRDefault="00F35AE0" w:rsidP="00734F6E">
                            <w:pPr>
                              <w:spacing w:line="216" w:lineRule="auto"/>
                              <w:rPr>
                                <w:color w:val="0D0D0D" w:themeColor="text1" w:themeTint="F2"/>
                                <w:szCs w:val="24"/>
                              </w:rPr>
                            </w:pPr>
                            <w:r>
                              <w:rPr>
                                <w:color w:val="0D0D0D" w:themeColor="text1" w:themeTint="F2"/>
                                <w:szCs w:val="24"/>
                              </w:rPr>
                              <w:t>Information Governance</w:t>
                            </w:r>
                          </w:p>
                          <w:p w14:paraId="7B4D3F1D" w14:textId="77777777" w:rsidR="00F35AE0" w:rsidRDefault="00F35AE0" w:rsidP="00734F6E">
                            <w:pPr>
                              <w:spacing w:line="216" w:lineRule="auto"/>
                              <w:rPr>
                                <w:color w:val="0D0D0D" w:themeColor="text1" w:themeTint="F2"/>
                                <w:szCs w:val="24"/>
                              </w:rPr>
                            </w:pPr>
                          </w:p>
                          <w:p w14:paraId="2C1348AD" w14:textId="77777777" w:rsidR="009579BB" w:rsidRDefault="009579BB" w:rsidP="00734F6E">
                            <w:pPr>
                              <w:spacing w:line="216" w:lineRule="auto"/>
                              <w:rPr>
                                <w:color w:val="0D0D0D" w:themeColor="text1" w:themeTint="F2"/>
                                <w:szCs w:val="24"/>
                              </w:rPr>
                            </w:pPr>
                          </w:p>
                          <w:p w14:paraId="44075FFF" w14:textId="77777777" w:rsidR="009579BB" w:rsidRDefault="009579BB" w:rsidP="00734F6E">
                            <w:pPr>
                              <w:spacing w:line="216" w:lineRule="auto"/>
                              <w:rPr>
                                <w:color w:val="0D0D0D" w:themeColor="text1" w:themeTint="F2"/>
                                <w:szCs w:val="24"/>
                              </w:rPr>
                            </w:pPr>
                          </w:p>
                          <w:p w14:paraId="4BFB8C5F" w14:textId="77777777" w:rsidR="009579BB" w:rsidRDefault="009579BB" w:rsidP="00734F6E">
                            <w:pPr>
                              <w:spacing w:line="216" w:lineRule="auto"/>
                              <w:rPr>
                                <w:color w:val="0D0D0D" w:themeColor="text1" w:themeTint="F2"/>
                                <w:szCs w:val="24"/>
                              </w:rPr>
                            </w:pPr>
                          </w:p>
                          <w:p w14:paraId="4E9BDB24" w14:textId="77777777" w:rsidR="009579BB" w:rsidRDefault="009579BB" w:rsidP="00734F6E">
                            <w:pPr>
                              <w:spacing w:line="216" w:lineRule="auto"/>
                              <w:rPr>
                                <w:color w:val="0D0D0D" w:themeColor="text1" w:themeTint="F2"/>
                                <w:szCs w:val="24"/>
                              </w:rPr>
                            </w:pPr>
                          </w:p>
                          <w:p w14:paraId="5269152F" w14:textId="77777777" w:rsidR="009579BB" w:rsidRDefault="009579BB" w:rsidP="00734F6E">
                            <w:pPr>
                              <w:spacing w:line="216" w:lineRule="auto"/>
                              <w:rPr>
                                <w:color w:val="0D0D0D" w:themeColor="text1" w:themeTint="F2"/>
                                <w:szCs w:val="24"/>
                              </w:rPr>
                            </w:pPr>
                          </w:p>
                          <w:p w14:paraId="589D7B2E" w14:textId="77777777" w:rsidR="009579BB" w:rsidRDefault="009579BB" w:rsidP="00734F6E">
                            <w:pPr>
                              <w:spacing w:line="216" w:lineRule="auto"/>
                              <w:rPr>
                                <w:color w:val="0D0D0D" w:themeColor="text1" w:themeTint="F2"/>
                                <w:szCs w:val="24"/>
                              </w:rPr>
                            </w:pPr>
                          </w:p>
                          <w:p w14:paraId="7D387D68" w14:textId="77777777" w:rsidR="009579BB" w:rsidRPr="008233C7" w:rsidRDefault="009579BB" w:rsidP="00734F6E">
                            <w:pPr>
                              <w:spacing w:line="216" w:lineRule="auto"/>
                              <w:rPr>
                                <w:color w:val="0D0D0D" w:themeColor="text1" w:themeTint="F2"/>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A943" id="_x0000_t202" coordsize="21600,21600" o:spt="202" path="m,l,21600r21600,l21600,xe">
                <v:stroke joinstyle="miter"/>
                <v:path gradientshapeok="t" o:connecttype="rect"/>
              </v:shapetype>
              <v:shape id="Text Box 4" o:spid="_x0000_s1026" type="#_x0000_t202" style="position:absolute;left:0;text-align:left;margin-left:-7.5pt;margin-top:15.5pt;width:513.6pt;height:5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" filled="f" stroked="f">
                <v:textbox inset=",7.2pt,,7.2pt">
                  <w:txbxContent>
                    <w:p w14:paraId="019E67CC" w14:textId="77777777" w:rsidR="008D4A0C" w:rsidRDefault="008D4A0C" w:rsidP="00A5775C">
                      <w:pPr>
                        <w:spacing w:line="216" w:lineRule="auto"/>
                        <w:rPr>
                          <w:color w:val="0D0D0D" w:themeColor="text1" w:themeTint="F2"/>
                          <w:sz w:val="80"/>
                        </w:rPr>
                      </w:pPr>
                    </w:p>
                    <w:p w14:paraId="36BDA6D4" w14:textId="77777777" w:rsidR="008D4A0C" w:rsidRDefault="008D4A0C" w:rsidP="00A5775C">
                      <w:pPr>
                        <w:spacing w:line="216" w:lineRule="auto"/>
                        <w:rPr>
                          <w:color w:val="0D0D0D" w:themeColor="text1" w:themeTint="F2"/>
                          <w:sz w:val="80"/>
                        </w:rPr>
                      </w:pPr>
                    </w:p>
                    <w:p w14:paraId="3F43FEC3" w14:textId="77777777" w:rsidR="00F35AE0" w:rsidRDefault="00F35AE0" w:rsidP="008D4A0C">
                      <w:pPr>
                        <w:spacing w:line="216" w:lineRule="auto"/>
                        <w:jc w:val="center"/>
                        <w:rPr>
                          <w:color w:val="0D0D0D" w:themeColor="text1" w:themeTint="F2"/>
                          <w:sz w:val="80"/>
                        </w:rPr>
                      </w:pPr>
                      <w:r>
                        <w:rPr>
                          <w:color w:val="0D0D0D" w:themeColor="text1" w:themeTint="F2"/>
                          <w:sz w:val="80"/>
                        </w:rPr>
                        <w:t>Protecting Special Category Data Policy</w:t>
                      </w:r>
                    </w:p>
                    <w:p w14:paraId="2E916232" w14:textId="77777777" w:rsidR="00F35AE0" w:rsidRDefault="00F35AE0" w:rsidP="00A5775C">
                      <w:pPr>
                        <w:spacing w:line="216" w:lineRule="auto"/>
                        <w:rPr>
                          <w:color w:val="0D0D0D" w:themeColor="text1" w:themeTint="F2"/>
                          <w:sz w:val="80"/>
                        </w:rPr>
                      </w:pPr>
                    </w:p>
                    <w:p w14:paraId="1A70EC76" w14:textId="77777777" w:rsidR="00F35AE0" w:rsidRDefault="00F35AE0" w:rsidP="00A5775C">
                      <w:pPr>
                        <w:spacing w:line="216" w:lineRule="auto"/>
                        <w:rPr>
                          <w:color w:val="0D0D0D" w:themeColor="text1" w:themeTint="F2"/>
                          <w:sz w:val="80"/>
                        </w:rPr>
                      </w:pPr>
                    </w:p>
                    <w:p w14:paraId="792C2B9A" w14:textId="77777777" w:rsidR="00F35AE0" w:rsidRDefault="00F35AE0" w:rsidP="00A5775C">
                      <w:pPr>
                        <w:spacing w:line="216" w:lineRule="auto"/>
                        <w:rPr>
                          <w:color w:val="0D0D0D" w:themeColor="text1" w:themeTint="F2"/>
                          <w:sz w:val="80"/>
                        </w:rPr>
                      </w:pPr>
                    </w:p>
                    <w:p w14:paraId="2E91B0C0" w14:textId="77777777" w:rsidR="00F35AE0" w:rsidRDefault="00F35AE0" w:rsidP="00A5775C">
                      <w:pPr>
                        <w:spacing w:line="216" w:lineRule="auto"/>
                        <w:rPr>
                          <w:color w:val="0D0D0D" w:themeColor="text1" w:themeTint="F2"/>
                          <w:sz w:val="80"/>
                        </w:rPr>
                      </w:pPr>
                    </w:p>
                    <w:p w14:paraId="45CEF22F" w14:textId="77777777" w:rsidR="00A463BE" w:rsidRDefault="00A463BE" w:rsidP="00716F23">
                      <w:pPr>
                        <w:spacing w:line="216" w:lineRule="auto"/>
                        <w:rPr>
                          <w:color w:val="0D0D0D" w:themeColor="text1" w:themeTint="F2"/>
                          <w:szCs w:val="24"/>
                        </w:rPr>
                      </w:pPr>
                    </w:p>
                    <w:p w14:paraId="0E3EF7F7" w14:textId="77777777" w:rsidR="00A463BE" w:rsidRDefault="00A463BE" w:rsidP="00716F23">
                      <w:pPr>
                        <w:spacing w:line="216" w:lineRule="auto"/>
                        <w:rPr>
                          <w:color w:val="0D0D0D" w:themeColor="text1" w:themeTint="F2"/>
                          <w:szCs w:val="24"/>
                        </w:rPr>
                      </w:pPr>
                    </w:p>
                    <w:p w14:paraId="51025978" w14:textId="77777777" w:rsidR="00A463BE" w:rsidRDefault="00A463BE" w:rsidP="00716F23">
                      <w:pPr>
                        <w:spacing w:line="216" w:lineRule="auto"/>
                        <w:rPr>
                          <w:color w:val="0D0D0D" w:themeColor="text1" w:themeTint="F2"/>
                          <w:szCs w:val="24"/>
                        </w:rPr>
                      </w:pPr>
                    </w:p>
                    <w:p w14:paraId="48D47AF7" w14:textId="77777777" w:rsidR="00A463BE" w:rsidRDefault="00A463BE" w:rsidP="00716F23">
                      <w:pPr>
                        <w:spacing w:line="216" w:lineRule="auto"/>
                        <w:rPr>
                          <w:color w:val="0D0D0D" w:themeColor="text1" w:themeTint="F2"/>
                          <w:szCs w:val="24"/>
                        </w:rPr>
                      </w:pPr>
                    </w:p>
                    <w:p w14:paraId="790A4225" w14:textId="77777777" w:rsidR="00A463BE" w:rsidRDefault="00A463BE" w:rsidP="00716F23">
                      <w:pPr>
                        <w:spacing w:line="216" w:lineRule="auto"/>
                        <w:rPr>
                          <w:color w:val="0D0D0D" w:themeColor="text1" w:themeTint="F2"/>
                          <w:szCs w:val="24"/>
                        </w:rPr>
                      </w:pPr>
                    </w:p>
                    <w:p w14:paraId="160CE715" w14:textId="1A7E442D" w:rsidR="00F35AE0" w:rsidRDefault="00B210C4" w:rsidP="00716F23">
                      <w:pPr>
                        <w:spacing w:line="216" w:lineRule="auto"/>
                        <w:rPr>
                          <w:color w:val="0D0D0D" w:themeColor="text1" w:themeTint="F2"/>
                          <w:szCs w:val="24"/>
                        </w:rPr>
                      </w:pPr>
                      <w:r>
                        <w:rPr>
                          <w:color w:val="0D0D0D" w:themeColor="text1" w:themeTint="F2"/>
                          <w:szCs w:val="24"/>
                        </w:rPr>
                        <w:t>v.</w:t>
                      </w:r>
                      <w:r w:rsidR="00B84E1D">
                        <w:rPr>
                          <w:color w:val="0D0D0D" w:themeColor="text1" w:themeTint="F2"/>
                          <w:szCs w:val="24"/>
                        </w:rPr>
                        <w:t>3</w:t>
                      </w:r>
                      <w:r w:rsidR="00F35AE0">
                        <w:rPr>
                          <w:color w:val="0D0D0D" w:themeColor="text1" w:themeTint="F2"/>
                          <w:szCs w:val="24"/>
                        </w:rPr>
                        <w:t>.0</w:t>
                      </w:r>
                      <w:r w:rsidR="008D4A0C">
                        <w:rPr>
                          <w:color w:val="0D0D0D" w:themeColor="text1" w:themeTint="F2"/>
                          <w:szCs w:val="24"/>
                        </w:rPr>
                        <w:t xml:space="preserve"> October</w:t>
                      </w:r>
                      <w:r w:rsidR="00AD6AD2">
                        <w:rPr>
                          <w:color w:val="0D0D0D" w:themeColor="text1" w:themeTint="F2"/>
                          <w:szCs w:val="24"/>
                        </w:rPr>
                        <w:t xml:space="preserve"> 2023</w:t>
                      </w:r>
                    </w:p>
                    <w:p w14:paraId="0809CEC0" w14:textId="77777777" w:rsidR="00F35AE0" w:rsidRPr="008233C7" w:rsidRDefault="00F35AE0" w:rsidP="00734F6E">
                      <w:pPr>
                        <w:spacing w:line="216" w:lineRule="auto"/>
                        <w:rPr>
                          <w:color w:val="0D0D0D" w:themeColor="text1" w:themeTint="F2"/>
                          <w:szCs w:val="24"/>
                        </w:rPr>
                      </w:pPr>
                      <w:r>
                        <w:rPr>
                          <w:color w:val="0D0D0D" w:themeColor="text1" w:themeTint="F2"/>
                          <w:szCs w:val="24"/>
                        </w:rPr>
                        <w:t>Information Governance</w:t>
                      </w:r>
                    </w:p>
                    <w:p w14:paraId="7B4D3F1D" w14:textId="77777777" w:rsidR="00F35AE0" w:rsidRDefault="00F35AE0" w:rsidP="00734F6E">
                      <w:pPr>
                        <w:spacing w:line="216" w:lineRule="auto"/>
                        <w:rPr>
                          <w:color w:val="0D0D0D" w:themeColor="text1" w:themeTint="F2"/>
                          <w:szCs w:val="24"/>
                        </w:rPr>
                      </w:pPr>
                    </w:p>
                    <w:p w14:paraId="2C1348AD" w14:textId="77777777" w:rsidR="009579BB" w:rsidRDefault="009579BB" w:rsidP="00734F6E">
                      <w:pPr>
                        <w:spacing w:line="216" w:lineRule="auto"/>
                        <w:rPr>
                          <w:color w:val="0D0D0D" w:themeColor="text1" w:themeTint="F2"/>
                          <w:szCs w:val="24"/>
                        </w:rPr>
                      </w:pPr>
                    </w:p>
                    <w:p w14:paraId="44075FFF" w14:textId="77777777" w:rsidR="009579BB" w:rsidRDefault="009579BB" w:rsidP="00734F6E">
                      <w:pPr>
                        <w:spacing w:line="216" w:lineRule="auto"/>
                        <w:rPr>
                          <w:color w:val="0D0D0D" w:themeColor="text1" w:themeTint="F2"/>
                          <w:szCs w:val="24"/>
                        </w:rPr>
                      </w:pPr>
                    </w:p>
                    <w:p w14:paraId="4BFB8C5F" w14:textId="77777777" w:rsidR="009579BB" w:rsidRDefault="009579BB" w:rsidP="00734F6E">
                      <w:pPr>
                        <w:spacing w:line="216" w:lineRule="auto"/>
                        <w:rPr>
                          <w:color w:val="0D0D0D" w:themeColor="text1" w:themeTint="F2"/>
                          <w:szCs w:val="24"/>
                        </w:rPr>
                      </w:pPr>
                    </w:p>
                    <w:p w14:paraId="4E9BDB24" w14:textId="77777777" w:rsidR="009579BB" w:rsidRDefault="009579BB" w:rsidP="00734F6E">
                      <w:pPr>
                        <w:spacing w:line="216" w:lineRule="auto"/>
                        <w:rPr>
                          <w:color w:val="0D0D0D" w:themeColor="text1" w:themeTint="F2"/>
                          <w:szCs w:val="24"/>
                        </w:rPr>
                      </w:pPr>
                    </w:p>
                    <w:p w14:paraId="5269152F" w14:textId="77777777" w:rsidR="009579BB" w:rsidRDefault="009579BB" w:rsidP="00734F6E">
                      <w:pPr>
                        <w:spacing w:line="216" w:lineRule="auto"/>
                        <w:rPr>
                          <w:color w:val="0D0D0D" w:themeColor="text1" w:themeTint="F2"/>
                          <w:szCs w:val="24"/>
                        </w:rPr>
                      </w:pPr>
                    </w:p>
                    <w:p w14:paraId="589D7B2E" w14:textId="77777777" w:rsidR="009579BB" w:rsidRDefault="009579BB" w:rsidP="00734F6E">
                      <w:pPr>
                        <w:spacing w:line="216" w:lineRule="auto"/>
                        <w:rPr>
                          <w:color w:val="0D0D0D" w:themeColor="text1" w:themeTint="F2"/>
                          <w:szCs w:val="24"/>
                        </w:rPr>
                      </w:pPr>
                    </w:p>
                    <w:p w14:paraId="7D387D68" w14:textId="77777777" w:rsidR="009579BB" w:rsidRPr="008233C7" w:rsidRDefault="009579BB" w:rsidP="00734F6E">
                      <w:pPr>
                        <w:spacing w:line="216" w:lineRule="auto"/>
                        <w:rPr>
                          <w:color w:val="0D0D0D" w:themeColor="text1" w:themeTint="F2"/>
                          <w:szCs w:val="24"/>
                        </w:rPr>
                      </w:pPr>
                    </w:p>
                  </w:txbxContent>
                </v:textbox>
                <w10:wrap type="tight"/>
              </v:shape>
            </w:pict>
          </mc:Fallback>
        </mc:AlternateContent>
      </w:r>
      <w:bookmarkEnd w:id="0"/>
      <w:bookmarkEnd w:id="1"/>
      <w:bookmarkEnd w:id="2"/>
    </w:p>
    <w:p w14:paraId="5A28A4FE" w14:textId="77777777" w:rsidR="008233C7" w:rsidRDefault="008233C7" w:rsidP="009B7C47">
      <w:pPr>
        <w:pStyle w:val="Heading1"/>
        <w:numPr>
          <w:ilvl w:val="0"/>
          <w:numId w:val="0"/>
        </w:numPr>
        <w:spacing w:before="0" w:after="0"/>
        <w:ind w:left="709"/>
      </w:pPr>
    </w:p>
    <w:p w14:paraId="7B169E23" w14:textId="77777777" w:rsidR="009579BB" w:rsidRDefault="009579BB" w:rsidP="009B7C47">
      <w:pPr>
        <w:spacing w:after="0" w:line="240" w:lineRule="auto"/>
        <w:rPr>
          <w:b/>
          <w:sz w:val="36"/>
          <w:szCs w:val="36"/>
        </w:rPr>
      </w:pPr>
    </w:p>
    <w:p w14:paraId="5CC07BE5" w14:textId="77777777" w:rsidR="009579BB" w:rsidRDefault="009579BB" w:rsidP="009B7C47">
      <w:pPr>
        <w:spacing w:after="0" w:line="240" w:lineRule="auto"/>
        <w:rPr>
          <w:b/>
          <w:sz w:val="36"/>
          <w:szCs w:val="36"/>
        </w:rPr>
      </w:pPr>
    </w:p>
    <w:p w14:paraId="32BDE5D3" w14:textId="77777777" w:rsidR="009579BB" w:rsidRDefault="009579BB" w:rsidP="009B7C47">
      <w:pPr>
        <w:spacing w:after="0" w:line="240" w:lineRule="auto"/>
        <w:rPr>
          <w:b/>
          <w:sz w:val="36"/>
          <w:szCs w:val="36"/>
        </w:rPr>
      </w:pPr>
    </w:p>
    <w:p w14:paraId="7552DA32" w14:textId="77777777" w:rsidR="009579BB" w:rsidRDefault="009579BB" w:rsidP="009B7C47">
      <w:pPr>
        <w:spacing w:after="0" w:line="240" w:lineRule="auto"/>
        <w:rPr>
          <w:b/>
          <w:sz w:val="36"/>
          <w:szCs w:val="36"/>
        </w:rPr>
      </w:pPr>
    </w:p>
    <w:p w14:paraId="6B653623" w14:textId="77777777" w:rsidR="009579BB" w:rsidRDefault="009579BB" w:rsidP="009B7C47">
      <w:pPr>
        <w:spacing w:after="0" w:line="240" w:lineRule="auto"/>
        <w:rPr>
          <w:b/>
          <w:sz w:val="36"/>
          <w:szCs w:val="36"/>
        </w:rPr>
      </w:pPr>
    </w:p>
    <w:p w14:paraId="79013038" w14:textId="77777777" w:rsidR="009579BB" w:rsidRDefault="009579BB" w:rsidP="009B7C47">
      <w:pPr>
        <w:spacing w:after="0" w:line="240" w:lineRule="auto"/>
        <w:rPr>
          <w:b/>
          <w:sz w:val="36"/>
          <w:szCs w:val="36"/>
        </w:rPr>
      </w:pPr>
    </w:p>
    <w:p w14:paraId="4FFB7DBE" w14:textId="77777777" w:rsidR="009579BB" w:rsidRDefault="009579BB" w:rsidP="009B7C47">
      <w:pPr>
        <w:spacing w:after="0" w:line="240" w:lineRule="auto"/>
        <w:rPr>
          <w:b/>
          <w:sz w:val="36"/>
          <w:szCs w:val="36"/>
        </w:rPr>
      </w:pPr>
    </w:p>
    <w:p w14:paraId="5742F1A3" w14:textId="77777777" w:rsidR="009579BB" w:rsidRDefault="009579BB" w:rsidP="009B7C47">
      <w:pPr>
        <w:spacing w:after="0" w:line="240" w:lineRule="auto"/>
        <w:rPr>
          <w:b/>
          <w:sz w:val="36"/>
          <w:szCs w:val="36"/>
        </w:rPr>
      </w:pPr>
    </w:p>
    <w:p w14:paraId="3E32B3AC" w14:textId="77777777" w:rsidR="009579BB" w:rsidRDefault="009579BB" w:rsidP="009B7C47">
      <w:pPr>
        <w:spacing w:after="0" w:line="240" w:lineRule="auto"/>
        <w:rPr>
          <w:b/>
          <w:sz w:val="36"/>
          <w:szCs w:val="36"/>
        </w:rPr>
      </w:pPr>
    </w:p>
    <w:p w14:paraId="053E682C" w14:textId="77777777" w:rsidR="009579BB" w:rsidRDefault="009579BB" w:rsidP="009B7C47">
      <w:pPr>
        <w:spacing w:after="0" w:line="240" w:lineRule="auto"/>
        <w:rPr>
          <w:b/>
          <w:sz w:val="36"/>
          <w:szCs w:val="36"/>
        </w:rPr>
      </w:pPr>
    </w:p>
    <w:p w14:paraId="17BC9F86" w14:textId="77777777" w:rsidR="009579BB" w:rsidRDefault="009579BB" w:rsidP="009B7C47">
      <w:pPr>
        <w:spacing w:after="0" w:line="240" w:lineRule="auto"/>
        <w:rPr>
          <w:b/>
          <w:sz w:val="36"/>
          <w:szCs w:val="36"/>
        </w:rPr>
      </w:pPr>
    </w:p>
    <w:p w14:paraId="5B0A397A" w14:textId="77777777" w:rsidR="009579BB" w:rsidRDefault="009579BB" w:rsidP="009B7C47">
      <w:pPr>
        <w:spacing w:after="0" w:line="240" w:lineRule="auto"/>
        <w:rPr>
          <w:b/>
          <w:sz w:val="36"/>
          <w:szCs w:val="36"/>
        </w:rPr>
      </w:pPr>
    </w:p>
    <w:p w14:paraId="2233D573" w14:textId="77777777" w:rsidR="009579BB" w:rsidRDefault="009579BB" w:rsidP="009B7C47">
      <w:pPr>
        <w:spacing w:after="0" w:line="240" w:lineRule="auto"/>
        <w:rPr>
          <w:b/>
          <w:sz w:val="36"/>
          <w:szCs w:val="36"/>
        </w:rPr>
      </w:pPr>
    </w:p>
    <w:p w14:paraId="719A1151" w14:textId="77777777" w:rsidR="009579BB" w:rsidRDefault="009579BB" w:rsidP="009B7C47">
      <w:pPr>
        <w:spacing w:after="0" w:line="240" w:lineRule="auto"/>
        <w:rPr>
          <w:b/>
          <w:sz w:val="36"/>
          <w:szCs w:val="36"/>
        </w:rPr>
      </w:pPr>
    </w:p>
    <w:p w14:paraId="4A766AD8" w14:textId="77777777" w:rsidR="009579BB" w:rsidRDefault="009579BB" w:rsidP="009B7C47">
      <w:pPr>
        <w:spacing w:after="0" w:line="240" w:lineRule="auto"/>
        <w:rPr>
          <w:b/>
          <w:sz w:val="36"/>
          <w:szCs w:val="36"/>
        </w:rPr>
      </w:pPr>
    </w:p>
    <w:p w14:paraId="297EA0F8" w14:textId="77777777" w:rsidR="009579BB" w:rsidRDefault="009579BB" w:rsidP="009B7C47">
      <w:pPr>
        <w:spacing w:after="0" w:line="240" w:lineRule="auto"/>
        <w:rPr>
          <w:b/>
          <w:sz w:val="36"/>
          <w:szCs w:val="36"/>
        </w:rPr>
      </w:pPr>
    </w:p>
    <w:p w14:paraId="56489CCD" w14:textId="77777777" w:rsidR="009579BB" w:rsidRDefault="009579BB" w:rsidP="009B7C47">
      <w:pPr>
        <w:spacing w:after="0" w:line="240" w:lineRule="auto"/>
        <w:rPr>
          <w:b/>
          <w:sz w:val="36"/>
          <w:szCs w:val="36"/>
        </w:rPr>
      </w:pPr>
    </w:p>
    <w:p w14:paraId="3198FFC9" w14:textId="77777777" w:rsidR="009579BB" w:rsidRDefault="009579BB" w:rsidP="009B7C47">
      <w:pPr>
        <w:spacing w:after="0" w:line="240" w:lineRule="auto"/>
        <w:rPr>
          <w:b/>
          <w:sz w:val="36"/>
          <w:szCs w:val="36"/>
        </w:rPr>
      </w:pPr>
    </w:p>
    <w:p w14:paraId="7E9BB402" w14:textId="77777777" w:rsidR="009579BB" w:rsidRDefault="009579BB" w:rsidP="009B7C47">
      <w:pPr>
        <w:spacing w:after="0" w:line="240" w:lineRule="auto"/>
        <w:rPr>
          <w:b/>
          <w:sz w:val="36"/>
          <w:szCs w:val="36"/>
        </w:rPr>
      </w:pPr>
    </w:p>
    <w:p w14:paraId="0F12BBFD" w14:textId="77777777" w:rsidR="009579BB" w:rsidRDefault="009579BB" w:rsidP="009B7C47">
      <w:pPr>
        <w:spacing w:after="0" w:line="240" w:lineRule="auto"/>
        <w:rPr>
          <w:b/>
          <w:sz w:val="36"/>
          <w:szCs w:val="36"/>
        </w:rPr>
      </w:pPr>
    </w:p>
    <w:p w14:paraId="3025D167" w14:textId="77777777" w:rsidR="009579BB" w:rsidRDefault="009579BB" w:rsidP="009B7C47">
      <w:pPr>
        <w:spacing w:after="0" w:line="240" w:lineRule="auto"/>
        <w:rPr>
          <w:b/>
          <w:sz w:val="36"/>
          <w:szCs w:val="36"/>
        </w:rPr>
      </w:pPr>
    </w:p>
    <w:p w14:paraId="4E487E20" w14:textId="77777777" w:rsidR="009579BB" w:rsidRDefault="009579BB" w:rsidP="009B7C47">
      <w:pPr>
        <w:spacing w:after="0" w:line="240" w:lineRule="auto"/>
        <w:rPr>
          <w:b/>
          <w:sz w:val="36"/>
          <w:szCs w:val="36"/>
        </w:rPr>
      </w:pPr>
    </w:p>
    <w:p w14:paraId="0B2D7A78" w14:textId="77777777" w:rsidR="009579BB" w:rsidRDefault="009579BB" w:rsidP="009B7C47">
      <w:pPr>
        <w:spacing w:after="0" w:line="240" w:lineRule="auto"/>
        <w:rPr>
          <w:b/>
          <w:sz w:val="36"/>
          <w:szCs w:val="36"/>
        </w:rPr>
      </w:pPr>
    </w:p>
    <w:p w14:paraId="635A7CAF" w14:textId="77777777" w:rsidR="009579BB" w:rsidRDefault="009579BB" w:rsidP="009B7C47">
      <w:pPr>
        <w:spacing w:after="0" w:line="240" w:lineRule="auto"/>
        <w:rPr>
          <w:b/>
          <w:sz w:val="36"/>
          <w:szCs w:val="36"/>
        </w:rPr>
      </w:pPr>
    </w:p>
    <w:p w14:paraId="1A08480D" w14:textId="77777777" w:rsidR="009579BB" w:rsidRDefault="009579BB" w:rsidP="009B7C47">
      <w:pPr>
        <w:spacing w:after="0" w:line="240" w:lineRule="auto"/>
        <w:rPr>
          <w:b/>
          <w:sz w:val="36"/>
          <w:szCs w:val="36"/>
        </w:rPr>
      </w:pPr>
    </w:p>
    <w:p w14:paraId="641D5064" w14:textId="77777777" w:rsidR="009579BB" w:rsidRDefault="009579BB" w:rsidP="009B7C47">
      <w:pPr>
        <w:spacing w:after="0" w:line="240" w:lineRule="auto"/>
        <w:rPr>
          <w:b/>
          <w:sz w:val="36"/>
          <w:szCs w:val="36"/>
        </w:rPr>
      </w:pPr>
    </w:p>
    <w:p w14:paraId="0A297632" w14:textId="77777777" w:rsidR="009579BB" w:rsidRDefault="009579BB" w:rsidP="009B7C47">
      <w:pPr>
        <w:spacing w:after="0" w:line="240" w:lineRule="auto"/>
        <w:rPr>
          <w:b/>
          <w:sz w:val="36"/>
          <w:szCs w:val="36"/>
        </w:rPr>
      </w:pPr>
    </w:p>
    <w:p w14:paraId="10D47F1C" w14:textId="77777777" w:rsidR="009579BB" w:rsidRDefault="009579BB" w:rsidP="009B7C47">
      <w:pPr>
        <w:spacing w:after="0" w:line="240" w:lineRule="auto"/>
        <w:rPr>
          <w:b/>
          <w:sz w:val="36"/>
          <w:szCs w:val="36"/>
        </w:rPr>
      </w:pPr>
    </w:p>
    <w:p w14:paraId="6A92C9E6" w14:textId="77777777" w:rsidR="009579BB" w:rsidRDefault="009579BB" w:rsidP="009B7C47">
      <w:pPr>
        <w:spacing w:after="0" w:line="240" w:lineRule="auto"/>
        <w:rPr>
          <w:b/>
          <w:sz w:val="36"/>
          <w:szCs w:val="36"/>
        </w:rPr>
      </w:pPr>
    </w:p>
    <w:p w14:paraId="081E6137" w14:textId="77777777" w:rsidR="00A463BE" w:rsidRDefault="00A463BE" w:rsidP="009B7C47">
      <w:pPr>
        <w:spacing w:after="0" w:line="240" w:lineRule="auto"/>
        <w:rPr>
          <w:b/>
          <w:sz w:val="36"/>
          <w:szCs w:val="36"/>
        </w:rPr>
      </w:pPr>
    </w:p>
    <w:p w14:paraId="1B889412" w14:textId="19987071" w:rsidR="005F25D5" w:rsidRDefault="005F25D5" w:rsidP="009B7C47">
      <w:pPr>
        <w:spacing w:after="0" w:line="240" w:lineRule="auto"/>
        <w:rPr>
          <w:b/>
          <w:sz w:val="36"/>
          <w:szCs w:val="36"/>
        </w:rPr>
      </w:pPr>
      <w:r w:rsidRPr="005F25D5">
        <w:rPr>
          <w:b/>
          <w:sz w:val="36"/>
          <w:szCs w:val="36"/>
        </w:rPr>
        <w:t>Policy cover sheet</w:t>
      </w:r>
    </w:p>
    <w:p w14:paraId="61A5334E" w14:textId="77777777" w:rsidR="004E5A24" w:rsidRDefault="004E5A24" w:rsidP="009B7C47">
      <w:pPr>
        <w:spacing w:after="0" w:line="240" w:lineRule="auto"/>
        <w:rPr>
          <w:b/>
          <w:sz w:val="36"/>
          <w:szCs w:val="36"/>
        </w:rPr>
      </w:pPr>
    </w:p>
    <w:p w14:paraId="19AE1D17" w14:textId="77777777" w:rsidR="0028583E" w:rsidRPr="0028583E" w:rsidRDefault="0028583E" w:rsidP="009B7C47">
      <w:pPr>
        <w:spacing w:after="0" w:line="240" w:lineRule="auto"/>
        <w:rPr>
          <w:b/>
          <w:sz w:val="20"/>
          <w:szCs w:val="20"/>
        </w:rPr>
      </w:pPr>
    </w:p>
    <w:tbl>
      <w:tblPr>
        <w:tblStyle w:val="TableGrid"/>
        <w:tblW w:w="0" w:type="auto"/>
        <w:tblInd w:w="709" w:type="dxa"/>
        <w:tblLook w:val="04A0" w:firstRow="1" w:lastRow="0" w:firstColumn="1" w:lastColumn="0" w:noHBand="0" w:noVBand="1"/>
      </w:tblPr>
      <w:tblGrid>
        <w:gridCol w:w="3085"/>
        <w:gridCol w:w="5812"/>
      </w:tblGrid>
      <w:tr w:rsidR="00CD4685" w14:paraId="247B89B9" w14:textId="77777777" w:rsidTr="005F25D5">
        <w:trPr>
          <w:trHeight w:val="425"/>
        </w:trPr>
        <w:tc>
          <w:tcPr>
            <w:tcW w:w="3085" w:type="dxa"/>
            <w:vAlign w:val="center"/>
          </w:tcPr>
          <w:p w14:paraId="479EC875" w14:textId="77777777" w:rsidR="00CD4685" w:rsidRPr="005F25D5" w:rsidRDefault="00CD4685" w:rsidP="004E5A24">
            <w:pPr>
              <w:rPr>
                <w:b/>
              </w:rPr>
            </w:pPr>
            <w:r w:rsidRPr="005F25D5">
              <w:rPr>
                <w:b/>
              </w:rPr>
              <w:t>Policy Title:</w:t>
            </w:r>
          </w:p>
        </w:tc>
        <w:tc>
          <w:tcPr>
            <w:tcW w:w="5812" w:type="dxa"/>
            <w:vAlign w:val="center"/>
          </w:tcPr>
          <w:p w14:paraId="317D06D3" w14:textId="77777777" w:rsidR="00CD4685" w:rsidRPr="005F25D5" w:rsidRDefault="00FE1FF1" w:rsidP="00BE5EB6">
            <w:r>
              <w:t>Protecting</w:t>
            </w:r>
            <w:r w:rsidR="002A3765">
              <w:t xml:space="preserve"> Special Category Data</w:t>
            </w:r>
            <w:r w:rsidR="00B724D7">
              <w:t xml:space="preserve"> Policy</w:t>
            </w:r>
          </w:p>
        </w:tc>
      </w:tr>
      <w:tr w:rsidR="00CD4685" w14:paraId="560B9E33" w14:textId="77777777" w:rsidTr="00A871F5">
        <w:trPr>
          <w:trHeight w:val="770"/>
        </w:trPr>
        <w:tc>
          <w:tcPr>
            <w:tcW w:w="3085" w:type="dxa"/>
            <w:vAlign w:val="center"/>
          </w:tcPr>
          <w:p w14:paraId="325F331C" w14:textId="77777777" w:rsidR="00CD4685" w:rsidRPr="005F25D5" w:rsidRDefault="00CD4685" w:rsidP="004E5A24">
            <w:pPr>
              <w:rPr>
                <w:b/>
              </w:rPr>
            </w:pPr>
            <w:r w:rsidRPr="005F25D5">
              <w:rPr>
                <w:b/>
              </w:rPr>
              <w:t>Related Policies:</w:t>
            </w:r>
          </w:p>
        </w:tc>
        <w:tc>
          <w:tcPr>
            <w:tcW w:w="5812" w:type="dxa"/>
            <w:vAlign w:val="center"/>
          </w:tcPr>
          <w:p w14:paraId="093875CB" w14:textId="19F68504" w:rsidR="00CD4685" w:rsidRPr="005F25D5" w:rsidRDefault="002A3765" w:rsidP="00BE5EB6">
            <w:r>
              <w:t xml:space="preserve">Data Protection Policy; Law Enforcement </w:t>
            </w:r>
            <w:r w:rsidR="00662E80">
              <w:t xml:space="preserve">(Data Protection) </w:t>
            </w:r>
            <w:r w:rsidR="003E2789">
              <w:t>Policy</w:t>
            </w:r>
            <w:r w:rsidR="00163FAC">
              <w:t xml:space="preserve">; </w:t>
            </w:r>
            <w:r w:rsidR="0056303A">
              <w:t>Individual Rights Procedure</w:t>
            </w:r>
          </w:p>
        </w:tc>
      </w:tr>
      <w:tr w:rsidR="00CD4685" w14:paraId="55F25545" w14:textId="77777777" w:rsidTr="00A871F5">
        <w:trPr>
          <w:trHeight w:val="764"/>
        </w:trPr>
        <w:tc>
          <w:tcPr>
            <w:tcW w:w="3085" w:type="dxa"/>
            <w:vAlign w:val="center"/>
          </w:tcPr>
          <w:p w14:paraId="16C0DFE0" w14:textId="77777777" w:rsidR="00CD4685" w:rsidRPr="005F25D5" w:rsidRDefault="00CD4685" w:rsidP="004E5A24">
            <w:pPr>
              <w:rPr>
                <w:b/>
              </w:rPr>
            </w:pPr>
            <w:r w:rsidRPr="005F25D5">
              <w:rPr>
                <w:b/>
              </w:rPr>
              <w:t>Contact:</w:t>
            </w:r>
          </w:p>
        </w:tc>
        <w:tc>
          <w:tcPr>
            <w:tcW w:w="5812" w:type="dxa"/>
            <w:vAlign w:val="center"/>
          </w:tcPr>
          <w:p w14:paraId="00594396" w14:textId="77777777" w:rsidR="00CD4685" w:rsidRDefault="005F25D5" w:rsidP="00BE5EB6">
            <w:r w:rsidRPr="005F25D5">
              <w:t xml:space="preserve">Information Governance </w:t>
            </w:r>
            <w:r w:rsidR="00734F6E">
              <w:t>Team</w:t>
            </w:r>
          </w:p>
          <w:p w14:paraId="7B826F3C" w14:textId="77777777" w:rsidR="00A871F5" w:rsidRPr="005F25D5" w:rsidRDefault="004B1B26" w:rsidP="00893DD0">
            <w:hyperlink r:id="rId12" w:history="1">
              <w:r w:rsidR="00A871F5" w:rsidRPr="00BC6131">
                <w:rPr>
                  <w:rStyle w:val="Hyperlink"/>
                </w:rPr>
                <w:t>Information.governance@doncaster.gov.uk</w:t>
              </w:r>
            </w:hyperlink>
          </w:p>
        </w:tc>
      </w:tr>
      <w:tr w:rsidR="00CD4685" w14:paraId="06FE172B" w14:textId="77777777" w:rsidTr="00A871F5">
        <w:trPr>
          <w:trHeight w:val="919"/>
        </w:trPr>
        <w:tc>
          <w:tcPr>
            <w:tcW w:w="3085" w:type="dxa"/>
            <w:vAlign w:val="center"/>
          </w:tcPr>
          <w:p w14:paraId="4CBE25B0" w14:textId="77777777" w:rsidR="00CD4685" w:rsidRPr="005F25D5" w:rsidRDefault="00CD4685" w:rsidP="004E5A24">
            <w:pPr>
              <w:rPr>
                <w:b/>
              </w:rPr>
            </w:pPr>
            <w:r w:rsidRPr="005F25D5">
              <w:rPr>
                <w:b/>
              </w:rPr>
              <w:t>Freedom of Information:</w:t>
            </w:r>
          </w:p>
        </w:tc>
        <w:tc>
          <w:tcPr>
            <w:tcW w:w="5812" w:type="dxa"/>
            <w:vAlign w:val="center"/>
          </w:tcPr>
          <w:p w14:paraId="35B8A0D0" w14:textId="77777777" w:rsidR="00CD4685" w:rsidRPr="005F25D5" w:rsidRDefault="00A96548" w:rsidP="00BE5EB6">
            <w:r>
              <w:t xml:space="preserve">This </w:t>
            </w:r>
            <w:r w:rsidR="004144DD">
              <w:t>Policy</w:t>
            </w:r>
            <w:r>
              <w:t xml:space="preserve"> and all information within it are suitable for release under the Freedom of Information Act 2000</w:t>
            </w:r>
          </w:p>
        </w:tc>
      </w:tr>
      <w:tr w:rsidR="00CD4685" w14:paraId="3B9DE816" w14:textId="77777777" w:rsidTr="00A871F5">
        <w:trPr>
          <w:trHeight w:val="691"/>
        </w:trPr>
        <w:tc>
          <w:tcPr>
            <w:tcW w:w="3085" w:type="dxa"/>
            <w:vAlign w:val="center"/>
          </w:tcPr>
          <w:p w14:paraId="5CCB8AA9" w14:textId="77777777" w:rsidR="00CD4685" w:rsidRPr="005F25D5" w:rsidRDefault="00CD4685" w:rsidP="004E5A24">
            <w:pPr>
              <w:rPr>
                <w:b/>
              </w:rPr>
            </w:pPr>
            <w:r w:rsidRPr="005F25D5">
              <w:rPr>
                <w:b/>
              </w:rPr>
              <w:t xml:space="preserve">Equality </w:t>
            </w:r>
            <w:r w:rsidR="00A96548">
              <w:rPr>
                <w:b/>
              </w:rPr>
              <w:t>Impact Assessment</w:t>
            </w:r>
            <w:r w:rsidRPr="005F25D5">
              <w:rPr>
                <w:b/>
              </w:rPr>
              <w:t>:</w:t>
            </w:r>
          </w:p>
        </w:tc>
        <w:tc>
          <w:tcPr>
            <w:tcW w:w="5812" w:type="dxa"/>
            <w:vAlign w:val="center"/>
          </w:tcPr>
          <w:p w14:paraId="07935E86" w14:textId="77777777" w:rsidR="00CD4685" w:rsidRPr="005F25D5" w:rsidRDefault="00A96548" w:rsidP="00BE5EB6">
            <w:r>
              <w:t xml:space="preserve">This </w:t>
            </w:r>
            <w:r w:rsidR="004144DD">
              <w:t>Policy</w:t>
            </w:r>
            <w:r>
              <w:t xml:space="preserve"> has been assessed as having </w:t>
            </w:r>
            <w:r w:rsidR="00D70EDF">
              <w:t xml:space="preserve">a positive </w:t>
            </w:r>
            <w:r>
              <w:t>impact on</w:t>
            </w:r>
            <w:r w:rsidR="004057E7">
              <w:t xml:space="preserve"> </w:t>
            </w:r>
            <w:r w:rsidR="00D70EDF">
              <w:t>protected groups, as it sets out how the Council will safeguard data relating to protected characteristics.</w:t>
            </w:r>
          </w:p>
        </w:tc>
      </w:tr>
      <w:tr w:rsidR="00CD4685" w14:paraId="0224C1F6" w14:textId="77777777" w:rsidTr="005F25D5">
        <w:trPr>
          <w:trHeight w:val="425"/>
        </w:trPr>
        <w:tc>
          <w:tcPr>
            <w:tcW w:w="3085" w:type="dxa"/>
            <w:vAlign w:val="center"/>
          </w:tcPr>
          <w:p w14:paraId="33DD70AE" w14:textId="77777777" w:rsidR="00CD4685" w:rsidRPr="005F25D5" w:rsidRDefault="00CD4685" w:rsidP="004E5A24">
            <w:pPr>
              <w:rPr>
                <w:b/>
              </w:rPr>
            </w:pPr>
            <w:r w:rsidRPr="005F25D5">
              <w:rPr>
                <w:b/>
              </w:rPr>
              <w:t>Version:</w:t>
            </w:r>
          </w:p>
        </w:tc>
        <w:tc>
          <w:tcPr>
            <w:tcW w:w="5812" w:type="dxa"/>
            <w:vAlign w:val="center"/>
          </w:tcPr>
          <w:p w14:paraId="51389123" w14:textId="5082B4EF" w:rsidR="00CD4685" w:rsidRPr="005F25D5" w:rsidRDefault="00A23C0D" w:rsidP="00BE5EB6">
            <w:r>
              <w:t>3</w:t>
            </w:r>
            <w:r w:rsidR="00716F23">
              <w:t>.0</w:t>
            </w:r>
          </w:p>
        </w:tc>
      </w:tr>
      <w:tr w:rsidR="00CD4685" w14:paraId="78F714A4" w14:textId="77777777" w:rsidTr="005F25D5">
        <w:trPr>
          <w:trHeight w:val="425"/>
        </w:trPr>
        <w:tc>
          <w:tcPr>
            <w:tcW w:w="3085" w:type="dxa"/>
            <w:vAlign w:val="center"/>
          </w:tcPr>
          <w:p w14:paraId="5731B077" w14:textId="77777777" w:rsidR="00CD4685" w:rsidRPr="005F25D5" w:rsidRDefault="00CD4685" w:rsidP="004E5A24">
            <w:pPr>
              <w:rPr>
                <w:b/>
              </w:rPr>
            </w:pPr>
            <w:r w:rsidRPr="005F25D5">
              <w:rPr>
                <w:b/>
              </w:rPr>
              <w:t>Status:</w:t>
            </w:r>
          </w:p>
        </w:tc>
        <w:tc>
          <w:tcPr>
            <w:tcW w:w="5812" w:type="dxa"/>
            <w:vAlign w:val="center"/>
          </w:tcPr>
          <w:p w14:paraId="284BA49E" w14:textId="2159B83B" w:rsidR="00CD4685" w:rsidRPr="005F25D5" w:rsidRDefault="00CD4685" w:rsidP="004E5A24"/>
        </w:tc>
      </w:tr>
    </w:tbl>
    <w:p w14:paraId="39DFD037" w14:textId="77777777" w:rsidR="0028583E" w:rsidRDefault="0028583E" w:rsidP="00100CDF">
      <w:pPr>
        <w:spacing w:after="0" w:line="240" w:lineRule="auto"/>
        <w:rPr>
          <w:sz w:val="36"/>
          <w:szCs w:val="36"/>
        </w:rPr>
      </w:pPr>
    </w:p>
    <w:p w14:paraId="5A43928A" w14:textId="77777777" w:rsidR="0028583E" w:rsidRPr="0028583E" w:rsidRDefault="005F25D5" w:rsidP="00100CDF">
      <w:pPr>
        <w:spacing w:after="0" w:line="240" w:lineRule="auto"/>
        <w:rPr>
          <w:sz w:val="36"/>
          <w:szCs w:val="36"/>
        </w:rPr>
      </w:pPr>
      <w:r w:rsidRPr="0028583E">
        <w:rPr>
          <w:sz w:val="36"/>
          <w:szCs w:val="36"/>
        </w:rPr>
        <w:t>Version control</w:t>
      </w:r>
    </w:p>
    <w:p w14:paraId="6D5999B0" w14:textId="77777777" w:rsidR="0028583E" w:rsidRPr="0028583E" w:rsidRDefault="0028583E" w:rsidP="00100CDF">
      <w:pPr>
        <w:spacing w:after="0" w:line="240" w:lineRule="auto"/>
        <w:rPr>
          <w:sz w:val="20"/>
          <w:szCs w:val="20"/>
        </w:rPr>
      </w:pPr>
    </w:p>
    <w:tbl>
      <w:tblPr>
        <w:tblStyle w:val="TableGrid"/>
        <w:tblW w:w="0" w:type="auto"/>
        <w:tblInd w:w="675" w:type="dxa"/>
        <w:tblLook w:val="04A0" w:firstRow="1" w:lastRow="0" w:firstColumn="1" w:lastColumn="0" w:noHBand="0" w:noVBand="1"/>
      </w:tblPr>
      <w:tblGrid>
        <w:gridCol w:w="3119"/>
        <w:gridCol w:w="5812"/>
      </w:tblGrid>
      <w:tr w:rsidR="005F25D5" w14:paraId="42E9C238" w14:textId="77777777" w:rsidTr="00E22CFC">
        <w:trPr>
          <w:trHeight w:val="425"/>
        </w:trPr>
        <w:tc>
          <w:tcPr>
            <w:tcW w:w="3119" w:type="dxa"/>
            <w:vAlign w:val="center"/>
          </w:tcPr>
          <w:p w14:paraId="2169E1CF" w14:textId="77777777" w:rsidR="005F25D5" w:rsidRPr="00E22CFC" w:rsidRDefault="00E22CFC" w:rsidP="004E5A24">
            <w:pPr>
              <w:jc w:val="center"/>
              <w:rPr>
                <w:b/>
              </w:rPr>
            </w:pPr>
            <w:r w:rsidRPr="00E22CFC">
              <w:rPr>
                <w:b/>
              </w:rPr>
              <w:t>Version</w:t>
            </w:r>
          </w:p>
        </w:tc>
        <w:tc>
          <w:tcPr>
            <w:tcW w:w="5812" w:type="dxa"/>
            <w:vAlign w:val="center"/>
          </w:tcPr>
          <w:p w14:paraId="76089930" w14:textId="77777777" w:rsidR="005F25D5" w:rsidRPr="00E22CFC" w:rsidRDefault="00E22CFC" w:rsidP="00BE5EB6">
            <w:pPr>
              <w:jc w:val="center"/>
              <w:rPr>
                <w:b/>
              </w:rPr>
            </w:pPr>
            <w:r w:rsidRPr="00E22CFC">
              <w:rPr>
                <w:b/>
              </w:rPr>
              <w:t>Changes</w:t>
            </w:r>
          </w:p>
        </w:tc>
      </w:tr>
      <w:tr w:rsidR="00E22CFC" w14:paraId="6E83C0D6" w14:textId="77777777" w:rsidTr="005F25D5">
        <w:trPr>
          <w:trHeight w:val="425"/>
        </w:trPr>
        <w:tc>
          <w:tcPr>
            <w:tcW w:w="3119" w:type="dxa"/>
            <w:vAlign w:val="center"/>
          </w:tcPr>
          <w:p w14:paraId="1CCCBAE2" w14:textId="77777777" w:rsidR="00E22CFC" w:rsidRDefault="00716F23" w:rsidP="004E5A24">
            <w:r>
              <w:t>1.0</w:t>
            </w:r>
          </w:p>
        </w:tc>
        <w:tc>
          <w:tcPr>
            <w:tcW w:w="5812" w:type="dxa"/>
            <w:vAlign w:val="center"/>
          </w:tcPr>
          <w:p w14:paraId="752A3016" w14:textId="77777777" w:rsidR="00E22CFC" w:rsidRDefault="00E22CFC" w:rsidP="00BE5EB6"/>
        </w:tc>
      </w:tr>
      <w:tr w:rsidR="00E22CFC" w14:paraId="19C1AEEA" w14:textId="77777777" w:rsidTr="005F25D5">
        <w:trPr>
          <w:trHeight w:val="425"/>
        </w:trPr>
        <w:tc>
          <w:tcPr>
            <w:tcW w:w="3119" w:type="dxa"/>
            <w:vAlign w:val="center"/>
          </w:tcPr>
          <w:p w14:paraId="4F89D3E4" w14:textId="77777777" w:rsidR="00E22CFC" w:rsidRDefault="00BA3065" w:rsidP="004E5A24">
            <w:r>
              <w:t>2.0</w:t>
            </w:r>
          </w:p>
        </w:tc>
        <w:tc>
          <w:tcPr>
            <w:tcW w:w="5812" w:type="dxa"/>
            <w:vAlign w:val="center"/>
          </w:tcPr>
          <w:p w14:paraId="7592BF4C" w14:textId="51943653" w:rsidR="00E22CFC" w:rsidRDefault="00E7346E" w:rsidP="00BE5EB6">
            <w:r>
              <w:t>R</w:t>
            </w:r>
            <w:r w:rsidR="009470C7">
              <w:t>e-draft of the</w:t>
            </w:r>
            <w:r>
              <w:t xml:space="preserve"> whole</w:t>
            </w:r>
            <w:r w:rsidR="009470C7">
              <w:t xml:space="preserve"> policy</w:t>
            </w:r>
          </w:p>
        </w:tc>
      </w:tr>
      <w:tr w:rsidR="00E22CFC" w14:paraId="3BA0ACFB" w14:textId="77777777" w:rsidTr="005F25D5">
        <w:trPr>
          <w:trHeight w:val="425"/>
        </w:trPr>
        <w:tc>
          <w:tcPr>
            <w:tcW w:w="3119" w:type="dxa"/>
            <w:vAlign w:val="center"/>
          </w:tcPr>
          <w:p w14:paraId="365FF47D" w14:textId="1DECD25E" w:rsidR="00E22CFC" w:rsidRDefault="00A23C0D" w:rsidP="004E5A24">
            <w:r>
              <w:t>3.0</w:t>
            </w:r>
          </w:p>
        </w:tc>
        <w:tc>
          <w:tcPr>
            <w:tcW w:w="5812" w:type="dxa"/>
            <w:vAlign w:val="center"/>
          </w:tcPr>
          <w:p w14:paraId="1A334311" w14:textId="43F1A551" w:rsidR="00E22CFC" w:rsidRDefault="00B84E1D" w:rsidP="00BE5EB6">
            <w:r>
              <w:t>Review and up</w:t>
            </w:r>
            <w:r w:rsidR="00A23C0D">
              <w:t xml:space="preserve">dates to </w:t>
            </w:r>
            <w:r w:rsidR="00C01676">
              <w:t>Council name and legislation</w:t>
            </w:r>
            <w:r w:rsidR="004B1B26">
              <w:t xml:space="preserve"> and definitions</w:t>
            </w:r>
          </w:p>
        </w:tc>
      </w:tr>
    </w:tbl>
    <w:p w14:paraId="1E18EFCE" w14:textId="77777777" w:rsidR="005F25D5" w:rsidRDefault="005F25D5" w:rsidP="00100CDF">
      <w:pPr>
        <w:spacing w:after="0" w:line="240" w:lineRule="auto"/>
      </w:pPr>
    </w:p>
    <w:p w14:paraId="3DB4646A" w14:textId="77777777" w:rsidR="00D04870" w:rsidRDefault="00D04870" w:rsidP="00100CDF">
      <w:pPr>
        <w:spacing w:after="0" w:line="240" w:lineRule="auto"/>
      </w:pPr>
    </w:p>
    <w:p w14:paraId="4C7D0149" w14:textId="77777777" w:rsidR="00D04870" w:rsidRDefault="00D04870" w:rsidP="00100CDF">
      <w:pPr>
        <w:spacing w:after="0" w:line="240" w:lineRule="auto"/>
      </w:pPr>
    </w:p>
    <w:p w14:paraId="72A731FF" w14:textId="77777777" w:rsidR="00D04870" w:rsidRDefault="00D04870" w:rsidP="00100CDF">
      <w:pPr>
        <w:spacing w:after="0" w:line="240" w:lineRule="auto"/>
      </w:pPr>
    </w:p>
    <w:p w14:paraId="1335F3BC" w14:textId="77777777" w:rsidR="004E5A24" w:rsidRDefault="004E5A24" w:rsidP="00100CDF">
      <w:pPr>
        <w:spacing w:after="0" w:line="240" w:lineRule="auto"/>
      </w:pPr>
    </w:p>
    <w:p w14:paraId="17D41C96" w14:textId="77777777" w:rsidR="004E5A24" w:rsidRDefault="004E5A24" w:rsidP="00100CDF">
      <w:pPr>
        <w:spacing w:after="0" w:line="240" w:lineRule="auto"/>
      </w:pPr>
    </w:p>
    <w:p w14:paraId="3F595D31" w14:textId="77777777" w:rsidR="004E5A24" w:rsidRDefault="004E5A24" w:rsidP="00100CDF">
      <w:pPr>
        <w:spacing w:after="0" w:line="240" w:lineRule="auto"/>
      </w:pPr>
    </w:p>
    <w:p w14:paraId="6258EB34" w14:textId="77777777" w:rsidR="004E5A24" w:rsidRDefault="004E5A24" w:rsidP="00100CDF">
      <w:pPr>
        <w:spacing w:after="0" w:line="240" w:lineRule="auto"/>
      </w:pPr>
    </w:p>
    <w:p w14:paraId="084411E5" w14:textId="77777777" w:rsidR="004E5A24" w:rsidRDefault="004E5A24" w:rsidP="00100CDF">
      <w:pPr>
        <w:spacing w:after="0" w:line="240" w:lineRule="auto"/>
      </w:pPr>
    </w:p>
    <w:p w14:paraId="366F362A" w14:textId="77777777" w:rsidR="004E5A24" w:rsidRDefault="004E5A24" w:rsidP="00100CDF">
      <w:pPr>
        <w:spacing w:after="0" w:line="240" w:lineRule="auto"/>
      </w:pPr>
    </w:p>
    <w:p w14:paraId="637DB708" w14:textId="77777777" w:rsidR="004E5A24" w:rsidRDefault="004E5A24" w:rsidP="00100CDF">
      <w:pPr>
        <w:spacing w:after="0" w:line="240" w:lineRule="auto"/>
      </w:pPr>
    </w:p>
    <w:p w14:paraId="68E39C93" w14:textId="77777777" w:rsidR="004E5A24" w:rsidRDefault="004E5A24" w:rsidP="00100CDF">
      <w:pPr>
        <w:spacing w:after="0" w:line="240" w:lineRule="auto"/>
      </w:pPr>
    </w:p>
    <w:p w14:paraId="7EFA981A" w14:textId="77777777" w:rsidR="004E5A24" w:rsidRDefault="004E5A24" w:rsidP="00100CDF">
      <w:pPr>
        <w:spacing w:after="0" w:line="240" w:lineRule="auto"/>
      </w:pPr>
    </w:p>
    <w:p w14:paraId="6EAA2271" w14:textId="77777777" w:rsidR="004E5A24" w:rsidRDefault="004E5A24" w:rsidP="00100CDF">
      <w:pPr>
        <w:spacing w:after="0" w:line="240" w:lineRule="auto"/>
      </w:pPr>
    </w:p>
    <w:p w14:paraId="0FF832C7" w14:textId="77777777" w:rsidR="004E5A24" w:rsidRDefault="004E5A24" w:rsidP="00100CDF">
      <w:pPr>
        <w:spacing w:after="0" w:line="240" w:lineRule="auto"/>
      </w:pPr>
    </w:p>
    <w:p w14:paraId="3FC0BB28" w14:textId="77777777" w:rsidR="00D04870" w:rsidRDefault="00D04870" w:rsidP="00100CDF">
      <w:pPr>
        <w:spacing w:after="0" w:line="240" w:lineRule="auto"/>
      </w:pPr>
    </w:p>
    <w:p w14:paraId="5FD8D694" w14:textId="77777777" w:rsidR="00D04870" w:rsidRDefault="00D04870" w:rsidP="00100CDF">
      <w:pPr>
        <w:spacing w:after="0" w:line="240" w:lineRule="auto"/>
      </w:pPr>
    </w:p>
    <w:p w14:paraId="1CACDEEF" w14:textId="77777777" w:rsidR="002722AD" w:rsidRDefault="002722AD" w:rsidP="00100CDF">
      <w:pPr>
        <w:spacing w:after="0" w:line="240" w:lineRule="auto"/>
      </w:pPr>
    </w:p>
    <w:p w14:paraId="2EF13145" w14:textId="77777777" w:rsidR="00D04870" w:rsidRDefault="00D04870" w:rsidP="00100CDF">
      <w:pPr>
        <w:spacing w:after="0" w:line="240" w:lineRule="auto"/>
      </w:pPr>
    </w:p>
    <w:p w14:paraId="75FBF19D" w14:textId="77777777" w:rsidR="000B239E" w:rsidRDefault="000B239E" w:rsidP="00100CDF">
      <w:pPr>
        <w:spacing w:after="0" w:line="240" w:lineRule="auto"/>
      </w:pPr>
    </w:p>
    <w:p w14:paraId="5D711429" w14:textId="77777777" w:rsidR="000B239E" w:rsidRPr="005F25D5" w:rsidRDefault="000B239E" w:rsidP="00100CDF">
      <w:pPr>
        <w:spacing w:after="0" w:line="240" w:lineRule="auto"/>
      </w:pPr>
    </w:p>
    <w:sdt>
      <w:sdtPr>
        <w:rPr>
          <w:rFonts w:ascii="Arial" w:eastAsiaTheme="minorHAnsi" w:hAnsi="Arial" w:cstheme="minorBidi"/>
          <w:b w:val="0"/>
          <w:bCs w:val="0"/>
          <w:color w:val="auto"/>
          <w:sz w:val="24"/>
          <w:szCs w:val="22"/>
          <w:lang w:val="en-GB" w:eastAsia="en-US"/>
        </w:rPr>
        <w:id w:val="958614020"/>
        <w:docPartObj>
          <w:docPartGallery w:val="Table of Contents"/>
          <w:docPartUnique/>
        </w:docPartObj>
      </w:sdtPr>
      <w:sdtEndPr>
        <w:rPr>
          <w:noProof/>
        </w:rPr>
      </w:sdtEndPr>
      <w:sdtContent>
        <w:p w14:paraId="5BE7725D"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04504A86"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33FE4AB4"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25C4FA25"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4205049C"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5DE0A83A"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0EA87DC9"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7DD7CF88"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7B82125A"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4D05C0E4"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6D2250C9" w14:textId="77777777" w:rsidR="0056303A" w:rsidRDefault="0056303A" w:rsidP="00B210C4">
          <w:pPr>
            <w:pStyle w:val="TOCHeading"/>
            <w:spacing w:before="0" w:line="240" w:lineRule="auto"/>
            <w:jc w:val="center"/>
            <w:rPr>
              <w:rFonts w:ascii="Arial" w:eastAsiaTheme="minorHAnsi" w:hAnsi="Arial" w:cstheme="minorBidi"/>
              <w:b w:val="0"/>
              <w:bCs w:val="0"/>
              <w:color w:val="auto"/>
              <w:sz w:val="24"/>
              <w:szCs w:val="22"/>
              <w:lang w:val="en-GB" w:eastAsia="en-US"/>
            </w:rPr>
          </w:pPr>
        </w:p>
        <w:p w14:paraId="561F5A1C" w14:textId="70C5BE4C" w:rsidR="00D04870" w:rsidRPr="00D04870" w:rsidRDefault="00D04870" w:rsidP="00B210C4">
          <w:pPr>
            <w:pStyle w:val="TOCHeading"/>
            <w:spacing w:before="0" w:line="240" w:lineRule="auto"/>
            <w:jc w:val="center"/>
            <w:rPr>
              <w:rFonts w:ascii="Arial" w:hAnsi="Arial" w:cs="Arial"/>
              <w:color w:val="auto"/>
              <w:u w:val="single"/>
            </w:rPr>
          </w:pPr>
          <w:r w:rsidRPr="00D04870">
            <w:rPr>
              <w:rFonts w:ascii="Arial" w:hAnsi="Arial" w:cs="Arial"/>
              <w:color w:val="auto"/>
              <w:u w:val="single"/>
            </w:rPr>
            <w:t>Contents</w:t>
          </w:r>
        </w:p>
        <w:p w14:paraId="0BD0CF9F" w14:textId="77777777" w:rsidR="00BF47DF" w:rsidRDefault="00D04870">
          <w:pPr>
            <w:pStyle w:val="TOC1"/>
            <w:tabs>
              <w:tab w:val="right" w:leader="dot" w:pos="1045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64B9CC5E" w14:textId="104CE9A7"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24" w:history="1">
            <w:r w:rsidR="00BF47DF" w:rsidRPr="00B53E4F">
              <w:rPr>
                <w:rStyle w:val="Hyperlink"/>
                <w:noProof/>
              </w:rPr>
              <w:t>1.</w:t>
            </w:r>
            <w:r w:rsidR="00BF47DF">
              <w:rPr>
                <w:rFonts w:asciiTheme="minorHAnsi" w:eastAsiaTheme="minorEastAsia" w:hAnsiTheme="minorHAnsi"/>
                <w:noProof/>
                <w:sz w:val="22"/>
                <w:lang w:eastAsia="en-GB"/>
              </w:rPr>
              <w:tab/>
            </w:r>
            <w:r w:rsidR="00BF47DF" w:rsidRPr="00B53E4F">
              <w:rPr>
                <w:rStyle w:val="Hyperlink"/>
                <w:noProof/>
              </w:rPr>
              <w:t>Introduction</w:t>
            </w:r>
            <w:r w:rsidR="00BF47DF">
              <w:rPr>
                <w:noProof/>
                <w:webHidden/>
              </w:rPr>
              <w:tab/>
            </w:r>
          </w:hyperlink>
          <w:r w:rsidR="0056303A">
            <w:rPr>
              <w:noProof/>
            </w:rPr>
            <w:t>4</w:t>
          </w:r>
        </w:p>
        <w:p w14:paraId="46E22889" w14:textId="7FB91E5B"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25" w:history="1">
            <w:r w:rsidR="00BF47DF" w:rsidRPr="00B53E4F">
              <w:rPr>
                <w:rStyle w:val="Hyperlink"/>
                <w:noProof/>
              </w:rPr>
              <w:t>2.</w:t>
            </w:r>
            <w:r w:rsidR="00BF47DF">
              <w:rPr>
                <w:rFonts w:asciiTheme="minorHAnsi" w:eastAsiaTheme="minorEastAsia" w:hAnsiTheme="minorHAnsi"/>
                <w:noProof/>
                <w:sz w:val="22"/>
                <w:lang w:eastAsia="en-GB"/>
              </w:rPr>
              <w:tab/>
            </w:r>
            <w:r w:rsidR="00BF47DF" w:rsidRPr="00B53E4F">
              <w:rPr>
                <w:rStyle w:val="Hyperlink"/>
                <w:noProof/>
              </w:rPr>
              <w:t>Aims</w:t>
            </w:r>
            <w:r w:rsidR="00BF47DF">
              <w:rPr>
                <w:noProof/>
                <w:webHidden/>
              </w:rPr>
              <w:tab/>
            </w:r>
          </w:hyperlink>
          <w:r w:rsidR="0056303A">
            <w:rPr>
              <w:noProof/>
            </w:rPr>
            <w:t>4</w:t>
          </w:r>
        </w:p>
        <w:p w14:paraId="6D39E94E" w14:textId="3D2FA431"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26" w:history="1">
            <w:r w:rsidR="00BF47DF" w:rsidRPr="00B53E4F">
              <w:rPr>
                <w:rStyle w:val="Hyperlink"/>
                <w:noProof/>
              </w:rPr>
              <w:t>3.</w:t>
            </w:r>
            <w:r w:rsidR="00BF47DF">
              <w:rPr>
                <w:rFonts w:asciiTheme="minorHAnsi" w:eastAsiaTheme="minorEastAsia" w:hAnsiTheme="minorHAnsi"/>
                <w:noProof/>
                <w:sz w:val="22"/>
                <w:lang w:eastAsia="en-GB"/>
              </w:rPr>
              <w:tab/>
            </w:r>
            <w:r w:rsidR="00BF47DF" w:rsidRPr="00B53E4F">
              <w:rPr>
                <w:rStyle w:val="Hyperlink"/>
                <w:noProof/>
              </w:rPr>
              <w:t>Definitions</w:t>
            </w:r>
            <w:r w:rsidR="00BF47DF">
              <w:rPr>
                <w:noProof/>
                <w:webHidden/>
              </w:rPr>
              <w:tab/>
            </w:r>
          </w:hyperlink>
          <w:r w:rsidR="0056303A">
            <w:rPr>
              <w:noProof/>
            </w:rPr>
            <w:t>4</w:t>
          </w:r>
        </w:p>
        <w:p w14:paraId="61B857DC" w14:textId="01CD06CF"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27" w:history="1">
            <w:r w:rsidR="00BF47DF" w:rsidRPr="00B53E4F">
              <w:rPr>
                <w:rStyle w:val="Hyperlink"/>
                <w:noProof/>
              </w:rPr>
              <w:t>4.</w:t>
            </w:r>
            <w:r w:rsidR="00BF47DF">
              <w:rPr>
                <w:rFonts w:asciiTheme="minorHAnsi" w:eastAsiaTheme="minorEastAsia" w:hAnsiTheme="minorHAnsi"/>
                <w:noProof/>
                <w:sz w:val="22"/>
                <w:lang w:eastAsia="en-GB"/>
              </w:rPr>
              <w:tab/>
            </w:r>
            <w:r w:rsidR="00BF47DF" w:rsidRPr="00B53E4F">
              <w:rPr>
                <w:rStyle w:val="Hyperlink"/>
                <w:noProof/>
              </w:rPr>
              <w:t>Conditions for processing special category and criminal offence data</w:t>
            </w:r>
            <w:r w:rsidR="00BF47DF">
              <w:rPr>
                <w:noProof/>
                <w:webHidden/>
              </w:rPr>
              <w:tab/>
            </w:r>
          </w:hyperlink>
          <w:r w:rsidR="0056303A">
            <w:rPr>
              <w:noProof/>
            </w:rPr>
            <w:t>5</w:t>
          </w:r>
        </w:p>
        <w:p w14:paraId="780F7CF1" w14:textId="5B72352E"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28" w:history="1">
            <w:r w:rsidR="00BF47DF" w:rsidRPr="00B53E4F">
              <w:rPr>
                <w:rStyle w:val="Hyperlink"/>
                <w:noProof/>
              </w:rPr>
              <w:t>5.</w:t>
            </w:r>
            <w:r w:rsidR="00BF47DF">
              <w:rPr>
                <w:rFonts w:asciiTheme="minorHAnsi" w:eastAsiaTheme="minorEastAsia" w:hAnsiTheme="minorHAnsi"/>
                <w:noProof/>
                <w:sz w:val="22"/>
                <w:lang w:eastAsia="en-GB"/>
              </w:rPr>
              <w:tab/>
            </w:r>
            <w:r w:rsidR="00BF47DF" w:rsidRPr="00B53E4F">
              <w:rPr>
                <w:rStyle w:val="Hyperlink"/>
                <w:noProof/>
              </w:rPr>
              <w:t>Processing carried out by the Council which requires an Appropriate Policy Document</w:t>
            </w:r>
            <w:r w:rsidR="00BF47DF">
              <w:rPr>
                <w:noProof/>
                <w:webHidden/>
              </w:rPr>
              <w:tab/>
            </w:r>
          </w:hyperlink>
          <w:r w:rsidR="0056303A">
            <w:rPr>
              <w:noProof/>
            </w:rPr>
            <w:t>6</w:t>
          </w:r>
        </w:p>
        <w:p w14:paraId="05392A95" w14:textId="0A487F23"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29" w:history="1">
            <w:r w:rsidR="00BF47DF" w:rsidRPr="00B53E4F">
              <w:rPr>
                <w:rStyle w:val="Hyperlink"/>
                <w:noProof/>
              </w:rPr>
              <w:t>6.</w:t>
            </w:r>
            <w:r w:rsidR="00BF47DF">
              <w:rPr>
                <w:rFonts w:asciiTheme="minorHAnsi" w:eastAsiaTheme="minorEastAsia" w:hAnsiTheme="minorHAnsi"/>
                <w:noProof/>
                <w:sz w:val="22"/>
                <w:lang w:eastAsia="en-GB"/>
              </w:rPr>
              <w:tab/>
            </w:r>
            <w:r w:rsidR="00BF47DF" w:rsidRPr="00B53E4F">
              <w:rPr>
                <w:rStyle w:val="Hyperlink"/>
                <w:noProof/>
              </w:rPr>
              <w:t>Procedures for ensuring compliance with the principles</w:t>
            </w:r>
            <w:r w:rsidR="00BF47DF">
              <w:rPr>
                <w:noProof/>
                <w:webHidden/>
              </w:rPr>
              <w:tab/>
            </w:r>
          </w:hyperlink>
          <w:r w:rsidR="0056303A">
            <w:rPr>
              <w:noProof/>
            </w:rPr>
            <w:t>7</w:t>
          </w:r>
        </w:p>
        <w:p w14:paraId="7D234182" w14:textId="2E6C1675"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30" w:history="1">
            <w:r w:rsidR="00BF47DF" w:rsidRPr="00B53E4F">
              <w:rPr>
                <w:rStyle w:val="Hyperlink"/>
                <w:noProof/>
              </w:rPr>
              <w:t>7.</w:t>
            </w:r>
            <w:r w:rsidR="00BF47DF">
              <w:rPr>
                <w:rFonts w:asciiTheme="minorHAnsi" w:eastAsiaTheme="minorEastAsia" w:hAnsiTheme="minorHAnsi"/>
                <w:noProof/>
                <w:sz w:val="22"/>
                <w:lang w:eastAsia="en-GB"/>
              </w:rPr>
              <w:tab/>
            </w:r>
            <w:r w:rsidR="00BF47DF" w:rsidRPr="00B53E4F">
              <w:rPr>
                <w:rStyle w:val="Hyperlink"/>
                <w:noProof/>
              </w:rPr>
              <w:t>Appropriate Policy Document review date</w:t>
            </w:r>
            <w:r w:rsidR="00BF47DF">
              <w:rPr>
                <w:noProof/>
                <w:webHidden/>
              </w:rPr>
              <w:tab/>
            </w:r>
          </w:hyperlink>
          <w:r w:rsidR="00A463BE">
            <w:rPr>
              <w:noProof/>
            </w:rPr>
            <w:t>9</w:t>
          </w:r>
        </w:p>
        <w:p w14:paraId="4C951EF2" w14:textId="47EE1626"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31" w:history="1">
            <w:r w:rsidR="00BF47DF" w:rsidRPr="00B53E4F">
              <w:rPr>
                <w:rStyle w:val="Hyperlink"/>
                <w:noProof/>
              </w:rPr>
              <w:t>8.</w:t>
            </w:r>
            <w:r w:rsidR="00BF47DF">
              <w:rPr>
                <w:rFonts w:asciiTheme="minorHAnsi" w:eastAsiaTheme="minorEastAsia" w:hAnsiTheme="minorHAnsi"/>
                <w:noProof/>
                <w:sz w:val="22"/>
                <w:lang w:eastAsia="en-GB"/>
              </w:rPr>
              <w:tab/>
            </w:r>
            <w:r w:rsidR="00BF47DF" w:rsidRPr="00B53E4F">
              <w:rPr>
                <w:rStyle w:val="Hyperlink"/>
                <w:noProof/>
              </w:rPr>
              <w:t>Additional special category processing</w:t>
            </w:r>
            <w:r w:rsidR="00BF47DF">
              <w:rPr>
                <w:noProof/>
                <w:webHidden/>
              </w:rPr>
              <w:tab/>
            </w:r>
            <w:r w:rsidR="0056303A">
              <w:rPr>
                <w:noProof/>
                <w:webHidden/>
              </w:rPr>
              <w:t>9</w:t>
            </w:r>
          </w:hyperlink>
        </w:p>
        <w:p w14:paraId="0FD11A89" w14:textId="5B74F354" w:rsidR="00BF47DF" w:rsidRDefault="004B1B26">
          <w:pPr>
            <w:pStyle w:val="TOC1"/>
            <w:tabs>
              <w:tab w:val="left" w:pos="480"/>
              <w:tab w:val="right" w:leader="dot" w:pos="10456"/>
            </w:tabs>
            <w:rPr>
              <w:rFonts w:asciiTheme="minorHAnsi" w:eastAsiaTheme="minorEastAsia" w:hAnsiTheme="minorHAnsi"/>
              <w:noProof/>
              <w:sz w:val="22"/>
              <w:lang w:eastAsia="en-GB"/>
            </w:rPr>
          </w:pPr>
          <w:hyperlink w:anchor="_Toc65078232" w:history="1">
            <w:r w:rsidR="00BF47DF" w:rsidRPr="00B53E4F">
              <w:rPr>
                <w:rStyle w:val="Hyperlink"/>
                <w:noProof/>
              </w:rPr>
              <w:t>9.</w:t>
            </w:r>
            <w:r w:rsidR="00BF47DF">
              <w:rPr>
                <w:rFonts w:asciiTheme="minorHAnsi" w:eastAsiaTheme="minorEastAsia" w:hAnsiTheme="minorHAnsi"/>
                <w:noProof/>
                <w:sz w:val="22"/>
                <w:lang w:eastAsia="en-GB"/>
              </w:rPr>
              <w:tab/>
            </w:r>
            <w:r w:rsidR="00BF47DF" w:rsidRPr="00B53E4F">
              <w:rPr>
                <w:rStyle w:val="Hyperlink"/>
                <w:noProof/>
              </w:rPr>
              <w:t>Further information</w:t>
            </w:r>
            <w:r w:rsidR="00BF47DF">
              <w:rPr>
                <w:noProof/>
                <w:webHidden/>
              </w:rPr>
              <w:tab/>
            </w:r>
            <w:r w:rsidR="0056303A">
              <w:rPr>
                <w:noProof/>
                <w:webHidden/>
              </w:rPr>
              <w:t>9</w:t>
            </w:r>
          </w:hyperlink>
        </w:p>
        <w:p w14:paraId="63F3AD78" w14:textId="77777777" w:rsidR="00D04870" w:rsidRDefault="00D04870" w:rsidP="00B210C4">
          <w:pPr>
            <w:spacing w:after="0" w:line="240" w:lineRule="auto"/>
          </w:pPr>
          <w:r>
            <w:rPr>
              <w:b/>
              <w:bCs/>
              <w:noProof/>
            </w:rPr>
            <w:fldChar w:fldCharType="end"/>
          </w:r>
        </w:p>
      </w:sdtContent>
    </w:sdt>
    <w:p w14:paraId="1652BB2C" w14:textId="77777777" w:rsidR="00CD4685" w:rsidRDefault="00CD4685" w:rsidP="00B210C4">
      <w:pPr>
        <w:spacing w:after="0" w:line="240" w:lineRule="auto"/>
      </w:pPr>
    </w:p>
    <w:p w14:paraId="7EE35402" w14:textId="77777777" w:rsidR="0028583E" w:rsidRDefault="0028583E" w:rsidP="00B210C4">
      <w:pPr>
        <w:spacing w:after="0" w:line="240" w:lineRule="auto"/>
      </w:pPr>
    </w:p>
    <w:p w14:paraId="721AC670" w14:textId="77777777" w:rsidR="004E5A24" w:rsidRDefault="004E5A24" w:rsidP="00B210C4">
      <w:pPr>
        <w:spacing w:after="0" w:line="240" w:lineRule="auto"/>
      </w:pPr>
    </w:p>
    <w:p w14:paraId="083B9E51" w14:textId="77777777" w:rsidR="004E5A24" w:rsidRDefault="004E5A24" w:rsidP="00B210C4">
      <w:pPr>
        <w:spacing w:after="0" w:line="240" w:lineRule="auto"/>
      </w:pPr>
    </w:p>
    <w:p w14:paraId="723544FE" w14:textId="77777777" w:rsidR="004E5A24" w:rsidRDefault="004E5A24" w:rsidP="00B210C4">
      <w:pPr>
        <w:spacing w:after="0" w:line="240" w:lineRule="auto"/>
      </w:pPr>
    </w:p>
    <w:p w14:paraId="00A4ADA0" w14:textId="77777777" w:rsidR="004E5A24" w:rsidRDefault="004E5A24" w:rsidP="00B210C4">
      <w:pPr>
        <w:spacing w:after="0" w:line="240" w:lineRule="auto"/>
      </w:pPr>
    </w:p>
    <w:p w14:paraId="48A59596" w14:textId="77777777" w:rsidR="004E5A24" w:rsidRDefault="004E5A24" w:rsidP="00B210C4">
      <w:pPr>
        <w:spacing w:after="0" w:line="240" w:lineRule="auto"/>
      </w:pPr>
    </w:p>
    <w:p w14:paraId="136879C2" w14:textId="77777777" w:rsidR="004E5A24" w:rsidRDefault="004E5A24" w:rsidP="00B210C4">
      <w:pPr>
        <w:spacing w:after="0" w:line="240" w:lineRule="auto"/>
      </w:pPr>
    </w:p>
    <w:p w14:paraId="2A13B363" w14:textId="77777777" w:rsidR="004E5A24" w:rsidRDefault="004E5A24" w:rsidP="00B210C4">
      <w:pPr>
        <w:spacing w:after="0" w:line="240" w:lineRule="auto"/>
      </w:pPr>
    </w:p>
    <w:p w14:paraId="50D5A160" w14:textId="77777777" w:rsidR="004E5A24" w:rsidRDefault="004E5A24" w:rsidP="00B210C4">
      <w:pPr>
        <w:spacing w:after="0" w:line="240" w:lineRule="auto"/>
      </w:pPr>
    </w:p>
    <w:p w14:paraId="2E9CB37F" w14:textId="77777777" w:rsidR="004E5A24" w:rsidRDefault="004E5A24" w:rsidP="00B210C4">
      <w:pPr>
        <w:spacing w:after="0" w:line="240" w:lineRule="auto"/>
      </w:pPr>
    </w:p>
    <w:p w14:paraId="4C9EDDE3" w14:textId="77777777" w:rsidR="004E5A24" w:rsidRDefault="004E5A24" w:rsidP="00B210C4">
      <w:pPr>
        <w:spacing w:after="0" w:line="240" w:lineRule="auto"/>
      </w:pPr>
    </w:p>
    <w:p w14:paraId="05B323A3" w14:textId="77777777" w:rsidR="004E5A24" w:rsidRDefault="004E5A24" w:rsidP="00B210C4">
      <w:pPr>
        <w:spacing w:after="0" w:line="240" w:lineRule="auto"/>
      </w:pPr>
    </w:p>
    <w:p w14:paraId="446AD358" w14:textId="77777777" w:rsidR="004E5A24" w:rsidRDefault="004E5A24" w:rsidP="00B210C4">
      <w:pPr>
        <w:spacing w:after="0" w:line="240" w:lineRule="auto"/>
      </w:pPr>
    </w:p>
    <w:p w14:paraId="513ABA79" w14:textId="77777777" w:rsidR="004E5A24" w:rsidRDefault="004E5A24" w:rsidP="00B210C4">
      <w:pPr>
        <w:spacing w:after="0" w:line="240" w:lineRule="auto"/>
      </w:pPr>
    </w:p>
    <w:p w14:paraId="55109630" w14:textId="77777777" w:rsidR="004E5A24" w:rsidRDefault="004E5A24" w:rsidP="00B210C4">
      <w:pPr>
        <w:spacing w:after="0" w:line="240" w:lineRule="auto"/>
      </w:pPr>
    </w:p>
    <w:p w14:paraId="785E8E4B" w14:textId="77777777" w:rsidR="004E5A24" w:rsidRDefault="004E5A24" w:rsidP="00B210C4">
      <w:pPr>
        <w:spacing w:after="0" w:line="240" w:lineRule="auto"/>
      </w:pPr>
    </w:p>
    <w:p w14:paraId="5E85D1CC" w14:textId="77777777" w:rsidR="004E5A24" w:rsidRDefault="004E5A24" w:rsidP="00B210C4">
      <w:pPr>
        <w:spacing w:after="0" w:line="240" w:lineRule="auto"/>
      </w:pPr>
    </w:p>
    <w:p w14:paraId="4ECE775E" w14:textId="77777777" w:rsidR="004E5A24" w:rsidRDefault="004E5A24" w:rsidP="00B210C4">
      <w:pPr>
        <w:spacing w:after="0" w:line="240" w:lineRule="auto"/>
      </w:pPr>
    </w:p>
    <w:p w14:paraId="61C63F71" w14:textId="77777777" w:rsidR="004E5A24" w:rsidRDefault="004E5A24" w:rsidP="00B210C4">
      <w:pPr>
        <w:spacing w:after="0" w:line="240" w:lineRule="auto"/>
      </w:pPr>
    </w:p>
    <w:p w14:paraId="0D7CBA48" w14:textId="77777777" w:rsidR="004E5A24" w:rsidRDefault="004E5A24" w:rsidP="00B210C4">
      <w:pPr>
        <w:spacing w:after="0" w:line="240" w:lineRule="auto"/>
      </w:pPr>
    </w:p>
    <w:p w14:paraId="050302AC" w14:textId="77777777" w:rsidR="004E5A24" w:rsidRDefault="004E5A24" w:rsidP="00B210C4">
      <w:pPr>
        <w:spacing w:after="0" w:line="240" w:lineRule="auto"/>
      </w:pPr>
    </w:p>
    <w:p w14:paraId="5F8A41E5" w14:textId="77777777" w:rsidR="004E5A24" w:rsidRDefault="004E5A24" w:rsidP="00B210C4">
      <w:pPr>
        <w:spacing w:after="0" w:line="240" w:lineRule="auto"/>
      </w:pPr>
    </w:p>
    <w:p w14:paraId="560EDDFC" w14:textId="77777777" w:rsidR="004E5A24" w:rsidRDefault="004E5A24" w:rsidP="00B210C4">
      <w:pPr>
        <w:spacing w:after="0" w:line="240" w:lineRule="auto"/>
      </w:pPr>
    </w:p>
    <w:p w14:paraId="1366E6B0" w14:textId="77777777" w:rsidR="004E5A24" w:rsidRDefault="004E5A24" w:rsidP="00B210C4">
      <w:pPr>
        <w:spacing w:after="0" w:line="240" w:lineRule="auto"/>
      </w:pPr>
    </w:p>
    <w:p w14:paraId="6DACB51E" w14:textId="77777777" w:rsidR="004E5A24" w:rsidRDefault="004E5A24" w:rsidP="00B210C4">
      <w:pPr>
        <w:spacing w:after="0" w:line="240" w:lineRule="auto"/>
      </w:pPr>
    </w:p>
    <w:p w14:paraId="15AD2F2B" w14:textId="77777777" w:rsidR="004E5A24" w:rsidRDefault="004E5A24" w:rsidP="00B210C4">
      <w:pPr>
        <w:spacing w:after="0" w:line="240" w:lineRule="auto"/>
      </w:pPr>
    </w:p>
    <w:p w14:paraId="30B673BA" w14:textId="77777777" w:rsidR="002A3765" w:rsidRDefault="002A3765" w:rsidP="00B210C4">
      <w:pPr>
        <w:pStyle w:val="Heading1"/>
        <w:spacing w:before="0" w:after="0"/>
        <w:ind w:left="432" w:hanging="432"/>
        <w:contextualSpacing/>
      </w:pPr>
      <w:bookmarkStart w:id="3" w:name="_Toc65078224"/>
      <w:r w:rsidRPr="003C386B">
        <w:t>Introduction</w:t>
      </w:r>
      <w:bookmarkEnd w:id="3"/>
    </w:p>
    <w:p w14:paraId="62827CA9" w14:textId="77777777" w:rsidR="004E5A24" w:rsidRPr="004E5A24" w:rsidRDefault="004E5A24" w:rsidP="00B210C4"/>
    <w:p w14:paraId="42F55448" w14:textId="7A4F94B5" w:rsidR="009470C7" w:rsidRDefault="009470C7" w:rsidP="00B210C4">
      <w:pPr>
        <w:spacing w:after="0" w:line="240" w:lineRule="auto"/>
        <w:jc w:val="both"/>
      </w:pPr>
      <w:r>
        <w:t xml:space="preserve">The Council processes special category data and criminal offence data as part of its statutory and corporate functions.  It does so in line with the requirements of Articles 9 and 10 of the </w:t>
      </w:r>
      <w:r w:rsidR="00680C6E">
        <w:t xml:space="preserve">UK </w:t>
      </w:r>
      <w:r>
        <w:t>General Data Protection Regulation (</w:t>
      </w:r>
      <w:r w:rsidR="00680C6E">
        <w:t>UK</w:t>
      </w:r>
      <w:r w:rsidR="004C5B8C">
        <w:t xml:space="preserve"> </w:t>
      </w:r>
      <w:r w:rsidR="00680C6E">
        <w:t>GDPR</w:t>
      </w:r>
      <w:r>
        <w:t xml:space="preserve">) and Schedule 1 of </w:t>
      </w:r>
      <w:r w:rsidR="00BA3065">
        <w:t>The Data Protection Act 2018</w:t>
      </w:r>
      <w:r>
        <w:t xml:space="preserve"> (DPA 2018).  When processing this type of data, under certain conditions for processing, the Council must have an Appropriate Policy Document (APD) in place.  This policy satisfies this requirement</w:t>
      </w:r>
      <w:r w:rsidR="00C6686F">
        <w:t>, by explaining our processing</w:t>
      </w:r>
      <w:r>
        <w:t xml:space="preserve"> and demonstrates the Council is compliant with the requirements of the </w:t>
      </w:r>
      <w:r w:rsidR="00680C6E">
        <w:t>UK-GDPR</w:t>
      </w:r>
      <w:r>
        <w:t xml:space="preserve"> Article 5 Principles. The Council also carries out processing for law enforcement purposes, which falls under Part 3 of the DPA 2018.  This processing is not covered in this document please see our Law Enforcement (Data Protection) Policy for further details.</w:t>
      </w:r>
    </w:p>
    <w:p w14:paraId="58AF35C8" w14:textId="77777777" w:rsidR="0034225F" w:rsidRDefault="0034225F" w:rsidP="00B210C4">
      <w:pPr>
        <w:spacing w:after="0" w:line="240" w:lineRule="auto"/>
      </w:pPr>
    </w:p>
    <w:p w14:paraId="54AF1B83" w14:textId="77777777" w:rsidR="002A3765" w:rsidRDefault="00C6686F" w:rsidP="00B210C4">
      <w:pPr>
        <w:pStyle w:val="Heading1"/>
        <w:spacing w:before="0" w:after="0"/>
        <w:ind w:left="431" w:hanging="431"/>
        <w:contextualSpacing/>
      </w:pPr>
      <w:bookmarkStart w:id="4" w:name="_Toc33620802"/>
      <w:bookmarkStart w:id="5" w:name="_Toc33620803"/>
      <w:bookmarkStart w:id="6" w:name="_Toc33620804"/>
      <w:bookmarkStart w:id="7" w:name="_Toc33620805"/>
      <w:bookmarkStart w:id="8" w:name="_Toc33620806"/>
      <w:bookmarkStart w:id="9" w:name="_Toc33620807"/>
      <w:bookmarkStart w:id="10" w:name="_Toc33620808"/>
      <w:bookmarkStart w:id="11" w:name="_Toc65078225"/>
      <w:bookmarkEnd w:id="4"/>
      <w:bookmarkEnd w:id="5"/>
      <w:bookmarkEnd w:id="6"/>
      <w:bookmarkEnd w:id="7"/>
      <w:bookmarkEnd w:id="8"/>
      <w:bookmarkEnd w:id="9"/>
      <w:bookmarkEnd w:id="10"/>
      <w:r>
        <w:t>A</w:t>
      </w:r>
      <w:r w:rsidR="002A3765">
        <w:t>ims</w:t>
      </w:r>
      <w:bookmarkEnd w:id="11"/>
    </w:p>
    <w:p w14:paraId="5CBF52F8" w14:textId="77777777" w:rsidR="0034225F" w:rsidRPr="00DD1404" w:rsidRDefault="0034225F" w:rsidP="00B210C4">
      <w:pPr>
        <w:spacing w:after="0" w:line="240" w:lineRule="auto"/>
      </w:pPr>
    </w:p>
    <w:p w14:paraId="32DEE0E4" w14:textId="77777777" w:rsidR="0034225F" w:rsidRDefault="002A3765" w:rsidP="00B210C4">
      <w:pPr>
        <w:spacing w:after="0" w:line="240" w:lineRule="auto"/>
      </w:pPr>
      <w:r>
        <w:t>The aims of this Policy are:</w:t>
      </w:r>
    </w:p>
    <w:p w14:paraId="2B665AC7" w14:textId="77777777" w:rsidR="002A3765" w:rsidRPr="00922779" w:rsidRDefault="002A3765" w:rsidP="00B210C4">
      <w:pPr>
        <w:spacing w:after="0" w:line="240" w:lineRule="auto"/>
      </w:pPr>
    </w:p>
    <w:p w14:paraId="3BFF07AC" w14:textId="77777777" w:rsidR="009579BB" w:rsidRDefault="00C6686F" w:rsidP="009579BB">
      <w:pPr>
        <w:pStyle w:val="ListParagraph"/>
        <w:spacing w:before="0" w:after="0"/>
        <w:jc w:val="both"/>
      </w:pPr>
      <w:r>
        <w:t xml:space="preserve">To explain </w:t>
      </w:r>
      <w:r w:rsidR="00680C6E">
        <w:t xml:space="preserve">City of </w:t>
      </w:r>
      <w:r>
        <w:t xml:space="preserve">Doncaster Council’s procedures for securing compliance with the principles in Article 5 of the </w:t>
      </w:r>
      <w:r w:rsidR="00680C6E">
        <w:t>UK-GDPR</w:t>
      </w:r>
      <w:r>
        <w:t>, and the conditions it is relying on when processing special category and criminal offence data</w:t>
      </w:r>
    </w:p>
    <w:p w14:paraId="776A702C" w14:textId="41D61478" w:rsidR="0034225F" w:rsidRDefault="002A3765" w:rsidP="009579BB">
      <w:pPr>
        <w:pStyle w:val="ListParagraph"/>
        <w:spacing w:before="0" w:after="0"/>
        <w:jc w:val="both"/>
      </w:pPr>
      <w:r w:rsidRPr="00922779">
        <w:t>To explain</w:t>
      </w:r>
      <w:r w:rsidR="00680C6E">
        <w:t xml:space="preserve"> City of</w:t>
      </w:r>
      <w:r w:rsidRPr="00922779">
        <w:t xml:space="preserve"> Doncaster Council</w:t>
      </w:r>
      <w:r w:rsidR="00C6686F">
        <w:t>’s policies with regard to the retention and erasure of personal data</w:t>
      </w:r>
      <w:r w:rsidR="0034225F">
        <w:t>,</w:t>
      </w:r>
      <w:r w:rsidR="00C6686F">
        <w:t xml:space="preserve"> and how it will</w:t>
      </w:r>
      <w:r w:rsidRPr="00922779">
        <w:t xml:space="preserve"> protect the rights and freedoms of data subjects when processing </w:t>
      </w:r>
      <w:r w:rsidR="00CF6B1D">
        <w:t>special category personal data</w:t>
      </w:r>
      <w:r w:rsidR="00450728" w:rsidRPr="00922779">
        <w:t xml:space="preserve"> </w:t>
      </w:r>
      <w:r w:rsidRPr="00922779">
        <w:t xml:space="preserve"> </w:t>
      </w:r>
    </w:p>
    <w:p w14:paraId="495E3E98" w14:textId="77777777" w:rsidR="009B7C47" w:rsidRDefault="009B7C47" w:rsidP="00B210C4">
      <w:pPr>
        <w:pStyle w:val="ListParagraph"/>
        <w:numPr>
          <w:ilvl w:val="0"/>
          <w:numId w:val="0"/>
        </w:numPr>
        <w:spacing w:before="0" w:after="0"/>
        <w:ind w:left="720"/>
      </w:pPr>
    </w:p>
    <w:p w14:paraId="3F943BBD" w14:textId="77777777" w:rsidR="002A3765" w:rsidRDefault="00560583" w:rsidP="00B210C4">
      <w:pPr>
        <w:pStyle w:val="Heading1"/>
        <w:spacing w:before="0" w:after="0"/>
        <w:ind w:left="426" w:hanging="426"/>
      </w:pPr>
      <w:bookmarkStart w:id="12" w:name="_Toc33620810"/>
      <w:bookmarkStart w:id="13" w:name="_Toc33620811"/>
      <w:bookmarkStart w:id="14" w:name="_Toc65078226"/>
      <w:bookmarkEnd w:id="12"/>
      <w:bookmarkEnd w:id="13"/>
      <w:r>
        <w:t>Definitions</w:t>
      </w:r>
      <w:bookmarkEnd w:id="14"/>
    </w:p>
    <w:p w14:paraId="34C4986E" w14:textId="77777777" w:rsidR="00264078" w:rsidRPr="004442B4" w:rsidRDefault="00264078" w:rsidP="00B210C4">
      <w:pPr>
        <w:spacing w:after="0" w:line="240" w:lineRule="auto"/>
      </w:pPr>
    </w:p>
    <w:p w14:paraId="6FA54411" w14:textId="57FAA426" w:rsidR="00B210C4" w:rsidRPr="003C03DC" w:rsidRDefault="00680C6E" w:rsidP="004C5B8C">
      <w:pPr>
        <w:spacing w:after="0" w:line="240" w:lineRule="auto"/>
        <w:rPr>
          <w:rFonts w:cs="Arial"/>
          <w:szCs w:val="24"/>
        </w:rPr>
      </w:pPr>
      <w:r>
        <w:t xml:space="preserve">UK </w:t>
      </w:r>
      <w:r w:rsidR="00B210C4">
        <w:t>General Data Protection Regulation (</w:t>
      </w:r>
      <w:r>
        <w:t>UK</w:t>
      </w:r>
      <w:r w:rsidR="004C5B8C">
        <w:t xml:space="preserve"> </w:t>
      </w:r>
      <w:r>
        <w:t>GDPR</w:t>
      </w:r>
      <w:r w:rsidR="00B210C4">
        <w:t>)</w:t>
      </w:r>
      <w:r w:rsidR="004C5B8C">
        <w:t xml:space="preserve"> - th</w:t>
      </w:r>
      <w:r w:rsidR="003C03DC">
        <w:rPr>
          <w:rFonts w:cs="Arial"/>
          <w:szCs w:val="24"/>
          <w:lang w:val="en-US"/>
        </w:rPr>
        <w:t xml:space="preserve">e retained EU law version of the General Data Protection </w:t>
      </w:r>
      <w:r w:rsidR="003C03DC" w:rsidRPr="009C4FD6">
        <w:rPr>
          <w:rFonts w:cs="Arial"/>
          <w:szCs w:val="24"/>
          <w:lang w:val="en-US"/>
        </w:rPr>
        <w:t>Regulation (EU) 2016/679</w:t>
      </w:r>
    </w:p>
    <w:p w14:paraId="0D6C289E" w14:textId="77777777" w:rsidR="00D255B2" w:rsidRDefault="00D255B2" w:rsidP="00B210C4">
      <w:pPr>
        <w:spacing w:after="0" w:line="240" w:lineRule="auto"/>
      </w:pPr>
    </w:p>
    <w:p w14:paraId="148D9CEF" w14:textId="360D2747" w:rsidR="0034225F" w:rsidRDefault="0034225F" w:rsidP="00B210C4">
      <w:pPr>
        <w:spacing w:after="0" w:line="240" w:lineRule="auto"/>
      </w:pPr>
      <w:r>
        <w:t>Special Category Data</w:t>
      </w:r>
      <w:r w:rsidR="00D255B2">
        <w:t xml:space="preserve"> – this </w:t>
      </w:r>
      <w:r w:rsidRPr="0034225F">
        <w:t xml:space="preserve">is defined at Article 9 </w:t>
      </w:r>
      <w:r w:rsidR="00680C6E">
        <w:t>UK</w:t>
      </w:r>
      <w:r w:rsidR="00D255B2">
        <w:t xml:space="preserve"> </w:t>
      </w:r>
      <w:r w:rsidR="00680C6E">
        <w:t>GDPR</w:t>
      </w:r>
      <w:r w:rsidRPr="0034225F">
        <w:t xml:space="preserve"> as personal data revealing:</w:t>
      </w:r>
    </w:p>
    <w:p w14:paraId="17CA2C1B" w14:textId="77777777" w:rsidR="0034225F" w:rsidRPr="0034225F" w:rsidRDefault="0034225F" w:rsidP="00B210C4">
      <w:pPr>
        <w:spacing w:after="0" w:line="240" w:lineRule="auto"/>
      </w:pPr>
    </w:p>
    <w:p w14:paraId="420AD2E3" w14:textId="77777777" w:rsidR="0034225F" w:rsidRPr="0034225F" w:rsidRDefault="0034225F" w:rsidP="004E5A24">
      <w:pPr>
        <w:numPr>
          <w:ilvl w:val="0"/>
          <w:numId w:val="25"/>
        </w:numPr>
        <w:spacing w:after="0" w:line="240" w:lineRule="auto"/>
      </w:pPr>
      <w:r w:rsidRPr="0034225F">
        <w:t>Racial or ethnic origin;</w:t>
      </w:r>
    </w:p>
    <w:p w14:paraId="34492874" w14:textId="77777777" w:rsidR="0034225F" w:rsidRPr="0034225F" w:rsidRDefault="0034225F" w:rsidP="00BE5EB6">
      <w:pPr>
        <w:numPr>
          <w:ilvl w:val="0"/>
          <w:numId w:val="25"/>
        </w:numPr>
        <w:spacing w:after="0" w:line="240" w:lineRule="auto"/>
      </w:pPr>
      <w:r w:rsidRPr="0034225F">
        <w:t>Political opinions;</w:t>
      </w:r>
    </w:p>
    <w:p w14:paraId="75A1C9BF" w14:textId="77777777" w:rsidR="0034225F" w:rsidRPr="0034225F" w:rsidRDefault="0034225F" w:rsidP="00893DD0">
      <w:pPr>
        <w:numPr>
          <w:ilvl w:val="0"/>
          <w:numId w:val="25"/>
        </w:numPr>
        <w:spacing w:after="0" w:line="240" w:lineRule="auto"/>
      </w:pPr>
      <w:r w:rsidRPr="0034225F">
        <w:t>Religious or philosophical beliefs;</w:t>
      </w:r>
    </w:p>
    <w:p w14:paraId="5AC59BE5" w14:textId="77777777" w:rsidR="0034225F" w:rsidRPr="0034225F" w:rsidRDefault="0034225F" w:rsidP="00893DD0">
      <w:pPr>
        <w:numPr>
          <w:ilvl w:val="0"/>
          <w:numId w:val="25"/>
        </w:numPr>
        <w:spacing w:after="0" w:line="240" w:lineRule="auto"/>
      </w:pPr>
      <w:r w:rsidRPr="0034225F">
        <w:t>Trade union membership;</w:t>
      </w:r>
    </w:p>
    <w:p w14:paraId="69FA959A" w14:textId="77777777" w:rsidR="0034225F" w:rsidRPr="0034225F" w:rsidRDefault="0034225F" w:rsidP="00D22CCF">
      <w:pPr>
        <w:numPr>
          <w:ilvl w:val="0"/>
          <w:numId w:val="25"/>
        </w:numPr>
        <w:spacing w:after="0" w:line="240" w:lineRule="auto"/>
      </w:pPr>
      <w:r w:rsidRPr="0034225F">
        <w:t>Genetic data;</w:t>
      </w:r>
    </w:p>
    <w:p w14:paraId="4D4A26FC" w14:textId="77777777" w:rsidR="0034225F" w:rsidRPr="0034225F" w:rsidRDefault="0034225F">
      <w:pPr>
        <w:numPr>
          <w:ilvl w:val="0"/>
          <w:numId w:val="25"/>
        </w:numPr>
        <w:spacing w:after="0" w:line="240" w:lineRule="auto"/>
      </w:pPr>
      <w:r w:rsidRPr="0034225F">
        <w:t>Biometric data for the purpose of uniquely identifying a natural person;</w:t>
      </w:r>
    </w:p>
    <w:p w14:paraId="30C67CEC" w14:textId="77777777" w:rsidR="0034225F" w:rsidRPr="0034225F" w:rsidRDefault="0034225F">
      <w:pPr>
        <w:numPr>
          <w:ilvl w:val="0"/>
          <w:numId w:val="25"/>
        </w:numPr>
        <w:spacing w:after="0" w:line="240" w:lineRule="auto"/>
      </w:pPr>
      <w:r w:rsidRPr="0034225F">
        <w:t>Data concerning health; or</w:t>
      </w:r>
    </w:p>
    <w:p w14:paraId="49B32860" w14:textId="77777777" w:rsidR="0034225F" w:rsidRPr="0034225F" w:rsidRDefault="0034225F">
      <w:pPr>
        <w:numPr>
          <w:ilvl w:val="0"/>
          <w:numId w:val="25"/>
        </w:numPr>
        <w:spacing w:after="0" w:line="240" w:lineRule="auto"/>
      </w:pPr>
      <w:r w:rsidRPr="0034225F">
        <w:t>Data concerning a natural person’s sex life or sexual orientation.</w:t>
      </w:r>
    </w:p>
    <w:p w14:paraId="7920BF04" w14:textId="77777777" w:rsidR="0034225F" w:rsidRPr="0034225F" w:rsidRDefault="0034225F" w:rsidP="00B210C4">
      <w:pPr>
        <w:spacing w:after="0" w:line="240" w:lineRule="auto"/>
      </w:pPr>
    </w:p>
    <w:p w14:paraId="09B2FB96" w14:textId="2C848F5D" w:rsidR="0034225F" w:rsidRDefault="0034225F" w:rsidP="00D255B2">
      <w:pPr>
        <w:spacing w:after="0" w:line="240" w:lineRule="auto"/>
      </w:pPr>
      <w:r w:rsidRPr="00B210C4">
        <w:t>Criminal conviction data</w:t>
      </w:r>
      <w:r w:rsidR="00D255B2">
        <w:t xml:space="preserve"> - </w:t>
      </w:r>
      <w:r w:rsidRPr="00B210C4">
        <w:t xml:space="preserve">Article </w:t>
      </w:r>
      <w:r w:rsidR="007F3405">
        <w:t>1</w:t>
      </w:r>
      <w:r w:rsidRPr="00B210C4">
        <w:t xml:space="preserve">0 </w:t>
      </w:r>
      <w:r w:rsidR="007F3405">
        <w:t xml:space="preserve">of the </w:t>
      </w:r>
      <w:r w:rsidR="00680C6E">
        <w:t>UK</w:t>
      </w:r>
      <w:r w:rsidR="00D255B2">
        <w:t xml:space="preserve"> </w:t>
      </w:r>
      <w:r w:rsidR="00680C6E">
        <w:t>GDPR</w:t>
      </w:r>
      <w:r w:rsidRPr="00B210C4">
        <w:t xml:space="preserve"> covers processing in relation to criminal convictions and offences or related security measures. In addition, section 11(2) of the DPA 2018 specifically confirms that this includes personal data relating to the alleged commission of offences or proceedings for an offence committed or alleged to have been committed, including sentencing. This is collectively referred to as ‘criminal offence data’.</w:t>
      </w:r>
    </w:p>
    <w:p w14:paraId="3C331671" w14:textId="77777777" w:rsidR="00A463BE" w:rsidRDefault="00A463BE" w:rsidP="00D255B2">
      <w:pPr>
        <w:spacing w:after="0" w:line="240" w:lineRule="auto"/>
      </w:pPr>
    </w:p>
    <w:p w14:paraId="43CEE43C" w14:textId="77777777" w:rsidR="00A463BE" w:rsidRDefault="00A463BE" w:rsidP="00D255B2">
      <w:pPr>
        <w:spacing w:after="0" w:line="240" w:lineRule="auto"/>
      </w:pPr>
    </w:p>
    <w:p w14:paraId="49DCE5B4" w14:textId="77777777" w:rsidR="00A463BE" w:rsidRDefault="00A463BE" w:rsidP="00D255B2">
      <w:pPr>
        <w:spacing w:after="0" w:line="240" w:lineRule="auto"/>
      </w:pPr>
    </w:p>
    <w:p w14:paraId="326A4CB6" w14:textId="77777777" w:rsidR="0034225F" w:rsidRDefault="0034225F" w:rsidP="004E5A24">
      <w:pPr>
        <w:spacing w:after="0" w:line="240" w:lineRule="auto"/>
      </w:pPr>
    </w:p>
    <w:p w14:paraId="330DA3D5" w14:textId="77777777" w:rsidR="0034225F" w:rsidRDefault="0034225F" w:rsidP="00B210C4">
      <w:pPr>
        <w:pStyle w:val="Heading1"/>
        <w:spacing w:before="0" w:after="0"/>
        <w:ind w:left="426" w:hanging="426"/>
      </w:pPr>
      <w:bookmarkStart w:id="15" w:name="_Toc65078227"/>
      <w:r>
        <w:t>Conditions for processing special category and criminal offence data</w:t>
      </w:r>
      <w:bookmarkEnd w:id="15"/>
    </w:p>
    <w:p w14:paraId="2D52E152" w14:textId="77777777" w:rsidR="004E5A24" w:rsidRPr="004E5A24" w:rsidRDefault="004E5A24" w:rsidP="004E5A24">
      <w:pPr>
        <w:spacing w:after="0" w:line="240" w:lineRule="auto"/>
      </w:pPr>
    </w:p>
    <w:p w14:paraId="5F9AD071" w14:textId="6D777929" w:rsidR="0034225F" w:rsidRDefault="0034225F" w:rsidP="00BE5EB6">
      <w:pPr>
        <w:spacing w:after="0" w:line="240" w:lineRule="auto"/>
      </w:pPr>
      <w:r>
        <w:t xml:space="preserve">The Council processes special category data under the following </w:t>
      </w:r>
      <w:r w:rsidR="00680C6E">
        <w:t>UK</w:t>
      </w:r>
      <w:r w:rsidR="007F3405">
        <w:t xml:space="preserve"> </w:t>
      </w:r>
      <w:r w:rsidR="00680C6E">
        <w:t>GDPR</w:t>
      </w:r>
      <w:r>
        <w:t xml:space="preserve"> Articles:</w:t>
      </w:r>
    </w:p>
    <w:p w14:paraId="513B6E18" w14:textId="77777777" w:rsidR="002D48BE" w:rsidRDefault="002D48BE" w:rsidP="00B210C4">
      <w:pPr>
        <w:spacing w:after="0" w:line="240" w:lineRule="auto"/>
      </w:pPr>
    </w:p>
    <w:p w14:paraId="6FFB6FE6" w14:textId="77777777" w:rsidR="0034225F" w:rsidRDefault="0034225F" w:rsidP="00B210C4">
      <w:pPr>
        <w:spacing w:after="0" w:line="240" w:lineRule="auto"/>
        <w:jc w:val="both"/>
      </w:pPr>
      <w:r w:rsidRPr="0034225F">
        <w:t>i. Article 9(2)(b) – where processing is necessary for the purposes of performing or exercising obligations or rights which are impose</w:t>
      </w:r>
      <w:r>
        <w:t>d or conferred by law on the Council</w:t>
      </w:r>
      <w:r w:rsidRPr="0034225F">
        <w:t xml:space="preserve"> or the data subject in connection with employment, social security or social protection.</w:t>
      </w:r>
    </w:p>
    <w:p w14:paraId="1C00BAF3" w14:textId="77777777" w:rsidR="0034225F" w:rsidRPr="0034225F" w:rsidRDefault="0034225F" w:rsidP="00B210C4">
      <w:pPr>
        <w:spacing w:after="0" w:line="240" w:lineRule="auto"/>
      </w:pPr>
    </w:p>
    <w:p w14:paraId="6310C16F" w14:textId="77777777" w:rsidR="0034225F" w:rsidRDefault="0034225F" w:rsidP="00B210C4">
      <w:pPr>
        <w:numPr>
          <w:ilvl w:val="0"/>
          <w:numId w:val="4"/>
        </w:numPr>
        <w:spacing w:after="0" w:line="240" w:lineRule="auto"/>
      </w:pPr>
      <w:r w:rsidRPr="0034225F">
        <w:t xml:space="preserve">Examples of our processing include staff sickness absences and </w:t>
      </w:r>
      <w:r w:rsidR="000F426C">
        <w:t xml:space="preserve">trade union membership </w:t>
      </w:r>
    </w:p>
    <w:p w14:paraId="14D9B244" w14:textId="77777777" w:rsidR="000F426C" w:rsidRPr="0034225F" w:rsidRDefault="000F426C" w:rsidP="00B210C4">
      <w:pPr>
        <w:spacing w:after="0" w:line="240" w:lineRule="auto"/>
        <w:ind w:left="720"/>
      </w:pPr>
    </w:p>
    <w:p w14:paraId="7E98A69A" w14:textId="77777777" w:rsidR="0034225F" w:rsidRDefault="0034225F" w:rsidP="00B210C4">
      <w:pPr>
        <w:spacing w:after="0" w:line="240" w:lineRule="auto"/>
      </w:pPr>
      <w:r w:rsidRPr="0034225F">
        <w:t>ii. Article 9(2)(g) - reasons of substantial public interest.</w:t>
      </w:r>
    </w:p>
    <w:p w14:paraId="413C6239" w14:textId="77777777" w:rsidR="0034225F" w:rsidRDefault="0034225F" w:rsidP="00B210C4">
      <w:pPr>
        <w:spacing w:after="0" w:line="240" w:lineRule="auto"/>
      </w:pPr>
    </w:p>
    <w:p w14:paraId="4490FD59" w14:textId="77777777" w:rsidR="0034225F" w:rsidRDefault="0034225F" w:rsidP="00B210C4">
      <w:pPr>
        <w:spacing w:after="0" w:line="240" w:lineRule="auto"/>
        <w:contextualSpacing/>
        <w:jc w:val="both"/>
      </w:pPr>
      <w:r>
        <w:t xml:space="preserve">As a local authority the Council has a number of functions which </w:t>
      </w:r>
      <w:r w:rsidR="00A65722">
        <w:t>are statutory and others which it has the power</w:t>
      </w:r>
      <w:r>
        <w:t xml:space="preserve"> to perform</w:t>
      </w:r>
      <w:r w:rsidR="00A65722">
        <w:t>.   These include planning, roads, recreation facilities and amenities, social care, environmental protection and public health functions.  Our processing for these purposes is for reasons of substantial public interest and is necessary for the Council to carry out its role.</w:t>
      </w:r>
    </w:p>
    <w:p w14:paraId="0954149B" w14:textId="77777777" w:rsidR="00A65722" w:rsidRPr="0034225F" w:rsidRDefault="00A65722" w:rsidP="00B210C4">
      <w:pPr>
        <w:spacing w:after="0" w:line="240" w:lineRule="auto"/>
        <w:contextualSpacing/>
        <w:jc w:val="both"/>
      </w:pPr>
    </w:p>
    <w:p w14:paraId="79A7268B" w14:textId="77777777" w:rsidR="0034225F" w:rsidRPr="00B210C4" w:rsidRDefault="0034225F" w:rsidP="00B210C4">
      <w:pPr>
        <w:pStyle w:val="ListParagraph"/>
        <w:numPr>
          <w:ilvl w:val="0"/>
          <w:numId w:val="26"/>
        </w:numPr>
        <w:spacing w:before="0" w:after="0"/>
        <w:jc w:val="both"/>
      </w:pPr>
      <w:r>
        <w:t xml:space="preserve">Examples of our processing include </w:t>
      </w:r>
      <w:r w:rsidR="005C71D2">
        <w:t xml:space="preserve">data collected and used for </w:t>
      </w:r>
      <w:r w:rsidR="00A65722">
        <w:t xml:space="preserve">the provision of </w:t>
      </w:r>
      <w:r w:rsidR="005C71D2">
        <w:t xml:space="preserve">adult </w:t>
      </w:r>
      <w:r w:rsidR="00A65722">
        <w:t xml:space="preserve">social care, </w:t>
      </w:r>
      <w:r w:rsidR="005C71D2">
        <w:t xml:space="preserve">information we are provided with when investigating complaints, for the enforcement of school attendance and when using data to consider planning applications. </w:t>
      </w:r>
    </w:p>
    <w:p w14:paraId="1C7E9118" w14:textId="77777777" w:rsidR="005C71D2" w:rsidRDefault="005C71D2" w:rsidP="00B210C4">
      <w:pPr>
        <w:spacing w:after="0" w:line="240" w:lineRule="auto"/>
        <w:rPr>
          <w:b/>
        </w:rPr>
      </w:pPr>
    </w:p>
    <w:p w14:paraId="3E90FD17" w14:textId="77777777" w:rsidR="005C71D2" w:rsidRDefault="005C71D2" w:rsidP="00B210C4">
      <w:pPr>
        <w:spacing w:after="0" w:line="240" w:lineRule="auto"/>
      </w:pPr>
      <w:r w:rsidRPr="00B210C4">
        <w:t>iii. Article 9(2)(j) – for archiving purposes in the public interest.</w:t>
      </w:r>
    </w:p>
    <w:p w14:paraId="5B4A3E1C" w14:textId="77777777" w:rsidR="005C71D2" w:rsidRPr="00B210C4" w:rsidRDefault="005C71D2" w:rsidP="00B210C4">
      <w:pPr>
        <w:spacing w:after="0" w:line="240" w:lineRule="auto"/>
      </w:pPr>
    </w:p>
    <w:p w14:paraId="4A3DA172" w14:textId="77777777" w:rsidR="005C71D2" w:rsidRPr="00B210C4" w:rsidRDefault="005C71D2" w:rsidP="00B210C4">
      <w:pPr>
        <w:spacing w:after="0" w:line="240" w:lineRule="auto"/>
      </w:pPr>
      <w:r w:rsidRPr="00B210C4">
        <w:t>The relevant purpose we rely on is Schedule 1 Part 1 paragraph 4 – archiving.</w:t>
      </w:r>
    </w:p>
    <w:p w14:paraId="3967741F" w14:textId="77777777" w:rsidR="005C71D2" w:rsidRDefault="005C71D2" w:rsidP="00B210C4">
      <w:pPr>
        <w:spacing w:after="0" w:line="240" w:lineRule="auto"/>
      </w:pPr>
    </w:p>
    <w:p w14:paraId="50DE9DB5" w14:textId="77777777" w:rsidR="005C71D2" w:rsidRDefault="005C71D2" w:rsidP="00B210C4">
      <w:pPr>
        <w:pStyle w:val="ListParagraph"/>
        <w:numPr>
          <w:ilvl w:val="0"/>
          <w:numId w:val="26"/>
        </w:numPr>
        <w:spacing w:before="0" w:after="0"/>
      </w:pPr>
      <w:r w:rsidRPr="00B210C4">
        <w:t xml:space="preserve">An example of our processing is the transfers we make to </w:t>
      </w:r>
      <w:r>
        <w:t>our</w:t>
      </w:r>
      <w:r w:rsidRPr="00B210C4">
        <w:t xml:space="preserve"> Archives</w:t>
      </w:r>
      <w:r>
        <w:t xml:space="preserve"> department</w:t>
      </w:r>
      <w:r w:rsidRPr="00B210C4">
        <w:t xml:space="preserve"> as part of our obligations </w:t>
      </w:r>
      <w:r w:rsidR="00E13F52">
        <w:t>to document the Council’s history of decision making</w:t>
      </w:r>
      <w:r w:rsidRPr="00B210C4">
        <w:t>.</w:t>
      </w:r>
    </w:p>
    <w:p w14:paraId="0754F76F" w14:textId="77777777" w:rsidR="005C71D2" w:rsidRPr="00B210C4" w:rsidRDefault="005C71D2" w:rsidP="00B210C4">
      <w:pPr>
        <w:spacing w:after="0" w:line="240" w:lineRule="auto"/>
      </w:pPr>
    </w:p>
    <w:p w14:paraId="61A50629" w14:textId="77777777" w:rsidR="005C71D2" w:rsidRDefault="005C71D2" w:rsidP="00B210C4">
      <w:pPr>
        <w:spacing w:after="0" w:line="240" w:lineRule="auto"/>
      </w:pPr>
      <w:r w:rsidRPr="00B210C4">
        <w:t>iv. Article 9(2)(f) – for the establishment, exercise or defence of legal claims.</w:t>
      </w:r>
    </w:p>
    <w:p w14:paraId="12EA2C83" w14:textId="77777777" w:rsidR="00EC0899" w:rsidRPr="00B210C4" w:rsidRDefault="00EC0899" w:rsidP="00B210C4">
      <w:pPr>
        <w:spacing w:after="0" w:line="240" w:lineRule="auto"/>
      </w:pPr>
    </w:p>
    <w:p w14:paraId="3CBA5A5B" w14:textId="77777777" w:rsidR="005C71D2" w:rsidRDefault="005C71D2" w:rsidP="00B210C4">
      <w:pPr>
        <w:numPr>
          <w:ilvl w:val="0"/>
          <w:numId w:val="4"/>
        </w:numPr>
        <w:spacing w:after="0" w:line="240" w:lineRule="auto"/>
      </w:pPr>
      <w:r w:rsidRPr="00B210C4">
        <w:t>Examples of our processing include</w:t>
      </w:r>
      <w:r w:rsidR="00100CDF">
        <w:t>s</w:t>
      </w:r>
      <w:r w:rsidRPr="00B210C4">
        <w:t xml:space="preserve"> processing relating to any</w:t>
      </w:r>
      <w:r w:rsidR="00EC0899">
        <w:t xml:space="preserve"> insurance claims, </w:t>
      </w:r>
      <w:r w:rsidRPr="00B210C4">
        <w:t>employment tribunal or other litigation.</w:t>
      </w:r>
    </w:p>
    <w:p w14:paraId="54293ACF" w14:textId="77777777" w:rsidR="00AC2AE6" w:rsidRDefault="00AC2AE6" w:rsidP="00B210C4">
      <w:pPr>
        <w:spacing w:after="0" w:line="240" w:lineRule="auto"/>
        <w:ind w:left="360"/>
      </w:pPr>
    </w:p>
    <w:p w14:paraId="4CC20AAA" w14:textId="77777777" w:rsidR="005C71D2" w:rsidRDefault="005C71D2" w:rsidP="00B210C4">
      <w:pPr>
        <w:spacing w:after="0" w:line="240" w:lineRule="auto"/>
      </w:pPr>
      <w:r>
        <w:t>v. Article 9(2)(a) – explicit consent</w:t>
      </w:r>
    </w:p>
    <w:p w14:paraId="4B1FF213" w14:textId="77777777" w:rsidR="005C71D2" w:rsidRDefault="005C71D2" w:rsidP="00B210C4">
      <w:pPr>
        <w:spacing w:after="0" w:line="240" w:lineRule="auto"/>
      </w:pPr>
    </w:p>
    <w:p w14:paraId="2396A656" w14:textId="77777777" w:rsidR="005C71D2" w:rsidRDefault="005C71D2" w:rsidP="00B210C4">
      <w:pPr>
        <w:spacing w:after="0" w:line="240" w:lineRule="auto"/>
        <w:jc w:val="both"/>
      </w:pPr>
      <w:r>
        <w:t>In circumstances where we seek consent, we make sure that the consent is unambiguous and for one or more specified purposes, is given by an affirmative action and is recorded as the condition for processing.</w:t>
      </w:r>
    </w:p>
    <w:p w14:paraId="6577E624" w14:textId="77777777" w:rsidR="005C71D2" w:rsidRDefault="005C71D2" w:rsidP="00B210C4">
      <w:pPr>
        <w:pStyle w:val="ListParagraph"/>
        <w:numPr>
          <w:ilvl w:val="0"/>
          <w:numId w:val="26"/>
        </w:numPr>
        <w:spacing w:after="0"/>
      </w:pPr>
      <w:r>
        <w:t>Examples of our processing include staff dietary requirements and health information we receive from our customers who require a reasonable adjustment to access our services.</w:t>
      </w:r>
    </w:p>
    <w:p w14:paraId="43C4D60F" w14:textId="77777777" w:rsidR="005C71D2" w:rsidRPr="00B210C4" w:rsidRDefault="005C71D2" w:rsidP="00B210C4">
      <w:pPr>
        <w:spacing w:after="0" w:line="240" w:lineRule="auto"/>
      </w:pPr>
    </w:p>
    <w:p w14:paraId="7154D543" w14:textId="77777777" w:rsidR="005C71D2" w:rsidRPr="00B210C4" w:rsidRDefault="005C71D2" w:rsidP="00B210C4">
      <w:pPr>
        <w:spacing w:after="0" w:line="240" w:lineRule="auto"/>
        <w:jc w:val="both"/>
      </w:pPr>
      <w:r w:rsidRPr="00B210C4">
        <w:t>vi. Article 9(2)(c) – where processing is necessary to protect the vital interests of the data subject or of another natural person.</w:t>
      </w:r>
    </w:p>
    <w:p w14:paraId="5E86670B" w14:textId="77777777" w:rsidR="005C71D2" w:rsidRPr="00B210C4" w:rsidRDefault="005C71D2" w:rsidP="00B210C4">
      <w:pPr>
        <w:pStyle w:val="ListParagraph"/>
        <w:numPr>
          <w:ilvl w:val="0"/>
          <w:numId w:val="0"/>
        </w:numPr>
        <w:spacing w:before="0" w:after="0"/>
        <w:ind w:left="714"/>
      </w:pPr>
    </w:p>
    <w:p w14:paraId="652C0D00" w14:textId="77777777" w:rsidR="005C71D2" w:rsidRPr="00B210C4" w:rsidRDefault="005C71D2" w:rsidP="00B210C4">
      <w:pPr>
        <w:pStyle w:val="ListParagraph"/>
        <w:spacing w:before="0" w:after="0"/>
        <w:ind w:left="714" w:hanging="357"/>
      </w:pPr>
      <w:r w:rsidRPr="00B210C4">
        <w:t xml:space="preserve">An example of our processing would be using health information about a member of staff in a medical emergency.  </w:t>
      </w:r>
    </w:p>
    <w:p w14:paraId="65FBAA70" w14:textId="77777777" w:rsidR="005C71D2" w:rsidRPr="00B210C4" w:rsidRDefault="005C71D2" w:rsidP="00B210C4">
      <w:pPr>
        <w:pStyle w:val="ListParagraph"/>
        <w:numPr>
          <w:ilvl w:val="0"/>
          <w:numId w:val="0"/>
        </w:numPr>
        <w:spacing w:before="0" w:after="0"/>
        <w:ind w:left="714"/>
      </w:pPr>
    </w:p>
    <w:p w14:paraId="02C68B0B" w14:textId="6258C059" w:rsidR="005C71D2" w:rsidRPr="00B210C4" w:rsidRDefault="005C71D2" w:rsidP="00B210C4">
      <w:pPr>
        <w:spacing w:after="0" w:line="240" w:lineRule="auto"/>
      </w:pPr>
      <w:r w:rsidRPr="00B210C4">
        <w:t xml:space="preserve">We process criminal offence data under Article 10 of the </w:t>
      </w:r>
      <w:r w:rsidR="00680C6E">
        <w:t>UK-GDPR</w:t>
      </w:r>
    </w:p>
    <w:p w14:paraId="15D0DE3F" w14:textId="77777777" w:rsidR="005C71D2" w:rsidRPr="00B210C4" w:rsidRDefault="005C71D2" w:rsidP="00B210C4">
      <w:pPr>
        <w:pStyle w:val="ListParagraph"/>
        <w:numPr>
          <w:ilvl w:val="0"/>
          <w:numId w:val="0"/>
        </w:numPr>
        <w:spacing w:before="0" w:after="0"/>
        <w:ind w:left="714"/>
      </w:pPr>
    </w:p>
    <w:p w14:paraId="688BFE86" w14:textId="3589CBFC" w:rsidR="007B3722" w:rsidRDefault="005C71D2" w:rsidP="00304CDD">
      <w:pPr>
        <w:pStyle w:val="ListParagraph"/>
        <w:spacing w:before="0" w:after="0"/>
        <w:ind w:left="714" w:hanging="357"/>
      </w:pPr>
      <w:r w:rsidRPr="00B210C4">
        <w:lastRenderedPageBreak/>
        <w:t>Examples of our processing of criminal offence data include pre-employment checks and declarations by an employee in line with contractual obligations.</w:t>
      </w:r>
      <w:r w:rsidR="007F3405">
        <w:br/>
      </w:r>
      <w:r w:rsidR="007B3722">
        <w:br/>
      </w:r>
    </w:p>
    <w:p w14:paraId="058195E1" w14:textId="77777777" w:rsidR="002D48BE" w:rsidRDefault="00927EB0" w:rsidP="00B210C4">
      <w:pPr>
        <w:pStyle w:val="Heading1"/>
        <w:spacing w:before="0" w:after="0"/>
      </w:pPr>
      <w:bookmarkStart w:id="16" w:name="_Toc65078228"/>
      <w:r>
        <w:t xml:space="preserve">Processing </w:t>
      </w:r>
      <w:r w:rsidR="004E5A24">
        <w:t>carried out by the Council which requires an Appropriate Policy Document</w:t>
      </w:r>
      <w:bookmarkEnd w:id="16"/>
    </w:p>
    <w:p w14:paraId="575F7C54" w14:textId="77777777" w:rsidR="004E5A24" w:rsidRPr="004E5A24" w:rsidRDefault="004E5A24" w:rsidP="00B210C4">
      <w:pPr>
        <w:spacing w:after="0" w:line="240" w:lineRule="auto"/>
      </w:pPr>
    </w:p>
    <w:p w14:paraId="05318713" w14:textId="77777777" w:rsidR="004E5A24" w:rsidRDefault="004E5A24" w:rsidP="00B210C4">
      <w:pPr>
        <w:spacing w:after="0" w:line="240" w:lineRule="auto"/>
      </w:pPr>
      <w:r>
        <w:t>Description of data processed:</w:t>
      </w:r>
    </w:p>
    <w:p w14:paraId="58178E3C" w14:textId="77777777" w:rsidR="004E5A24" w:rsidRDefault="004E5A24" w:rsidP="00B210C4">
      <w:pPr>
        <w:spacing w:after="0" w:line="240" w:lineRule="auto"/>
        <w:ind w:left="720" w:hanging="360"/>
      </w:pPr>
    </w:p>
    <w:p w14:paraId="1AB885B1" w14:textId="77777777" w:rsidR="004806ED" w:rsidRDefault="00E7346E" w:rsidP="00B210C4">
      <w:pPr>
        <w:spacing w:after="0" w:line="240" w:lineRule="auto"/>
        <w:jc w:val="both"/>
      </w:pPr>
      <w:r>
        <w:t>Employee s</w:t>
      </w:r>
      <w:r w:rsidR="004806ED">
        <w:t xml:space="preserve">pecial category </w:t>
      </w:r>
      <w:r>
        <w:t xml:space="preserve">data </w:t>
      </w:r>
      <w:r w:rsidR="004806ED">
        <w:t xml:space="preserve">is processed </w:t>
      </w:r>
      <w:r>
        <w:t xml:space="preserve">by the Council </w:t>
      </w:r>
      <w:r w:rsidR="004806ED">
        <w:t>in order to fulfil its obligations as an employer.  This includes such information as their ethnicity, membership of any trade union, about their health and wellbeing and criminal offence data.  Further detailed information about this processing can be found in our staff privacy notice.</w:t>
      </w:r>
    </w:p>
    <w:p w14:paraId="33ED8E60" w14:textId="77777777" w:rsidR="004806ED" w:rsidRDefault="004806ED" w:rsidP="00B210C4">
      <w:pPr>
        <w:spacing w:after="0" w:line="240" w:lineRule="auto"/>
        <w:ind w:left="714" w:hanging="357"/>
        <w:jc w:val="both"/>
      </w:pPr>
    </w:p>
    <w:p w14:paraId="3B7BBFC2" w14:textId="2AEC3177" w:rsidR="00977447" w:rsidRPr="004E5A24" w:rsidRDefault="004806ED" w:rsidP="00CD7AC3">
      <w:pPr>
        <w:jc w:val="both"/>
      </w:pPr>
      <w:r>
        <w:t xml:space="preserve">The Council also processes special category and criminal offence data, for reasons of substantial public interest, in order to fulfil our statutory functions as a local authority. </w:t>
      </w:r>
      <w:r w:rsidR="003C6AB7">
        <w:rPr>
          <w:rFonts w:eastAsia="Times New Roman"/>
        </w:rPr>
        <w:t>Examples of our processing include data collected and used for the provision of adult social care, children’s social care (including Youth Offending Services)</w:t>
      </w:r>
      <w:r w:rsidR="00CD7AC3">
        <w:rPr>
          <w:rFonts w:eastAsia="Times New Roman"/>
        </w:rPr>
        <w:t xml:space="preserve"> </w:t>
      </w:r>
      <w:r w:rsidR="003C6AB7">
        <w:rPr>
          <w:rFonts w:eastAsia="Times New Roman"/>
        </w:rPr>
        <w:t>information we are provided with when investigating complaints, for the enforcement of school attendance and when using data to consider planning applications.  </w:t>
      </w:r>
      <w:r>
        <w:t xml:space="preserve">The Council has a number of privacy notices on its website which provides further details, these can be accessed </w:t>
      </w:r>
      <w:hyperlink r:id="rId13" w:history="1">
        <w:r w:rsidRPr="004806ED">
          <w:rPr>
            <w:rStyle w:val="Hyperlink"/>
          </w:rPr>
          <w:t>here</w:t>
        </w:r>
      </w:hyperlink>
      <w:r w:rsidR="00977447">
        <w:t>.</w:t>
      </w:r>
    </w:p>
    <w:p w14:paraId="157848E0" w14:textId="77777777" w:rsidR="002D48BE" w:rsidRDefault="002D48BE" w:rsidP="00B210C4">
      <w:pPr>
        <w:spacing w:after="0" w:line="240" w:lineRule="auto"/>
      </w:pPr>
    </w:p>
    <w:p w14:paraId="42907338" w14:textId="55B527AE" w:rsidR="00977447" w:rsidRDefault="00977447" w:rsidP="00B210C4">
      <w:pPr>
        <w:spacing w:after="0" w:line="240" w:lineRule="auto"/>
      </w:pPr>
      <w:r>
        <w:t>The Council</w:t>
      </w:r>
      <w:r w:rsidR="005E1E30">
        <w:t xml:space="preserve"> also</w:t>
      </w:r>
      <w:r>
        <w:t xml:space="preserve"> maintains an Information Asset Register which records its processing activities in accordance with Article 30 of the </w:t>
      </w:r>
      <w:r w:rsidR="00680C6E">
        <w:t>UK-GDPR</w:t>
      </w:r>
      <w:r>
        <w:t>.</w:t>
      </w:r>
    </w:p>
    <w:p w14:paraId="3AA10DE0" w14:textId="77777777" w:rsidR="00977447" w:rsidRDefault="00977447" w:rsidP="00B210C4">
      <w:pPr>
        <w:spacing w:after="0" w:line="240" w:lineRule="auto"/>
      </w:pPr>
    </w:p>
    <w:p w14:paraId="4F9E1EBE" w14:textId="77777777" w:rsidR="00977447" w:rsidRDefault="00977447" w:rsidP="00B210C4">
      <w:pPr>
        <w:spacing w:after="0" w:line="240" w:lineRule="auto"/>
      </w:pPr>
      <w:r>
        <w:t>Schedule 1 conditions for processing</w:t>
      </w:r>
      <w:r w:rsidR="00264078">
        <w:t>:</w:t>
      </w:r>
    </w:p>
    <w:p w14:paraId="000E4D19" w14:textId="77777777" w:rsidR="00977447" w:rsidRDefault="00977447" w:rsidP="00B210C4">
      <w:pPr>
        <w:spacing w:after="0" w:line="240" w:lineRule="auto"/>
      </w:pPr>
    </w:p>
    <w:p w14:paraId="3FB0650A" w14:textId="77777777" w:rsidR="00977447" w:rsidRPr="00B210C4" w:rsidRDefault="00BE5EB6" w:rsidP="00B210C4">
      <w:pPr>
        <w:spacing w:after="0" w:line="240" w:lineRule="auto"/>
        <w:rPr>
          <w:b/>
        </w:rPr>
      </w:pPr>
      <w:r w:rsidRPr="00B210C4">
        <w:rPr>
          <w:b/>
        </w:rPr>
        <w:t>Special category data</w:t>
      </w:r>
    </w:p>
    <w:p w14:paraId="6D2109DF" w14:textId="77777777" w:rsidR="002D48BE" w:rsidRDefault="002D48BE" w:rsidP="00B210C4">
      <w:pPr>
        <w:spacing w:after="0" w:line="240" w:lineRule="auto"/>
        <w:rPr>
          <w:b/>
        </w:rPr>
      </w:pPr>
    </w:p>
    <w:p w14:paraId="2784A44D" w14:textId="77777777" w:rsidR="00BE5EB6" w:rsidRDefault="00BE5EB6" w:rsidP="00B210C4">
      <w:pPr>
        <w:spacing w:after="0" w:line="240" w:lineRule="auto"/>
      </w:pPr>
      <w:r>
        <w:t>The Council processes SC data for the following purposes in Part 1 of Schedule 1:</w:t>
      </w:r>
    </w:p>
    <w:p w14:paraId="269FF438" w14:textId="77777777" w:rsidR="00BE5EB6" w:rsidRDefault="00BE5EB6" w:rsidP="00B210C4">
      <w:pPr>
        <w:spacing w:after="0" w:line="240" w:lineRule="auto"/>
      </w:pPr>
    </w:p>
    <w:p w14:paraId="6168BE71" w14:textId="77777777" w:rsidR="00BE5EB6" w:rsidRDefault="00BE5EB6" w:rsidP="00B210C4">
      <w:pPr>
        <w:spacing w:after="0"/>
      </w:pPr>
      <w:r w:rsidRPr="00AC2AE6">
        <w:rPr>
          <w:b/>
        </w:rPr>
        <w:t xml:space="preserve">Paragraph 1 (1) </w:t>
      </w:r>
      <w:r>
        <w:t>employment, social security and social protection.</w:t>
      </w:r>
    </w:p>
    <w:p w14:paraId="0A5ED470" w14:textId="77777777" w:rsidR="00BE5EB6" w:rsidRDefault="00BE5EB6" w:rsidP="00B210C4">
      <w:pPr>
        <w:spacing w:after="0"/>
      </w:pPr>
    </w:p>
    <w:p w14:paraId="730888ED" w14:textId="77777777" w:rsidR="00BE5EB6" w:rsidRDefault="00BE5EB6" w:rsidP="00B210C4">
      <w:pPr>
        <w:spacing w:after="0"/>
      </w:pPr>
      <w:r>
        <w:t>The Council processes SC data for the following purposes in Part 2 of Schedule 1:</w:t>
      </w:r>
    </w:p>
    <w:p w14:paraId="2979EDCD" w14:textId="77777777" w:rsidR="00BE5EB6" w:rsidRDefault="00BE5EB6" w:rsidP="00B210C4">
      <w:pPr>
        <w:spacing w:after="0"/>
      </w:pPr>
    </w:p>
    <w:p w14:paraId="45A49522" w14:textId="77777777" w:rsidR="00BE5EB6" w:rsidRDefault="00BE5EB6" w:rsidP="00B210C4">
      <w:pPr>
        <w:spacing w:after="0"/>
      </w:pPr>
      <w:r>
        <w:rPr>
          <w:b/>
        </w:rPr>
        <w:t xml:space="preserve">Paragraph 6(1) and (2)(a) </w:t>
      </w:r>
      <w:r>
        <w:t>statutory, etc. purposes</w:t>
      </w:r>
    </w:p>
    <w:p w14:paraId="55FA1404" w14:textId="77777777" w:rsidR="00BE5EB6" w:rsidRDefault="00BE5EB6" w:rsidP="00B210C4">
      <w:pPr>
        <w:spacing w:after="0"/>
      </w:pPr>
      <w:r>
        <w:rPr>
          <w:b/>
        </w:rPr>
        <w:t xml:space="preserve">Paragraph 10(1) </w:t>
      </w:r>
      <w:r>
        <w:t>preventing or detecting unlawful acts</w:t>
      </w:r>
    </w:p>
    <w:p w14:paraId="75DEAF0C" w14:textId="77777777" w:rsidR="00BE5EB6" w:rsidRDefault="00BE5EB6" w:rsidP="00B210C4">
      <w:pPr>
        <w:spacing w:after="0"/>
      </w:pPr>
      <w:r>
        <w:rPr>
          <w:b/>
        </w:rPr>
        <w:t xml:space="preserve">Paragraph 11(1) and (2) </w:t>
      </w:r>
      <w:r>
        <w:t>protecting the public against dishonesty</w:t>
      </w:r>
    </w:p>
    <w:p w14:paraId="7AEE5824" w14:textId="77777777" w:rsidR="00BE5EB6" w:rsidRDefault="00BE5EB6" w:rsidP="00B210C4">
      <w:pPr>
        <w:spacing w:after="0"/>
      </w:pPr>
      <w:r>
        <w:rPr>
          <w:b/>
        </w:rPr>
        <w:t>Paragraph (14)</w:t>
      </w:r>
      <w:r w:rsidR="00893DD0">
        <w:rPr>
          <w:b/>
        </w:rPr>
        <w:t xml:space="preserve">(1) </w:t>
      </w:r>
      <w:r w:rsidR="00893DD0">
        <w:t>preventing fraud</w:t>
      </w:r>
    </w:p>
    <w:p w14:paraId="24B855CA" w14:textId="77777777" w:rsidR="00893DD0" w:rsidRDefault="00893DD0" w:rsidP="00B210C4">
      <w:pPr>
        <w:spacing w:after="0"/>
      </w:pPr>
      <w:r>
        <w:rPr>
          <w:b/>
        </w:rPr>
        <w:t xml:space="preserve">Paragraph (18) </w:t>
      </w:r>
      <w:r>
        <w:t>safeguarding of children and of individuals at risk</w:t>
      </w:r>
    </w:p>
    <w:p w14:paraId="4EBFF1D6" w14:textId="77777777" w:rsidR="00893DD0" w:rsidRDefault="00893DD0" w:rsidP="00B210C4">
      <w:pPr>
        <w:spacing w:after="0"/>
      </w:pPr>
      <w:r>
        <w:rPr>
          <w:b/>
        </w:rPr>
        <w:t xml:space="preserve">Paragraph (19) </w:t>
      </w:r>
      <w:r>
        <w:t>safeguarding of economic well-being of certain individuals</w:t>
      </w:r>
    </w:p>
    <w:p w14:paraId="34AD7536" w14:textId="77777777" w:rsidR="00893DD0" w:rsidRDefault="00893DD0" w:rsidP="00B210C4">
      <w:pPr>
        <w:spacing w:after="0"/>
      </w:pPr>
      <w:r>
        <w:rPr>
          <w:b/>
        </w:rPr>
        <w:t xml:space="preserve">Paragraph (24) </w:t>
      </w:r>
      <w:r>
        <w:t>disclosure to elected representatives</w:t>
      </w:r>
    </w:p>
    <w:p w14:paraId="7D76639E" w14:textId="77777777" w:rsidR="00893DD0" w:rsidRDefault="00893DD0" w:rsidP="00B210C4">
      <w:pPr>
        <w:spacing w:after="0"/>
      </w:pPr>
    </w:p>
    <w:p w14:paraId="41D89DC8" w14:textId="77777777" w:rsidR="00893DD0" w:rsidRDefault="00893DD0" w:rsidP="00B210C4">
      <w:pPr>
        <w:spacing w:after="0"/>
      </w:pPr>
      <w:r>
        <w:rPr>
          <w:b/>
        </w:rPr>
        <w:t>Criminal offence data</w:t>
      </w:r>
    </w:p>
    <w:p w14:paraId="2E29E563" w14:textId="77777777" w:rsidR="00893DD0" w:rsidRDefault="00893DD0" w:rsidP="00B210C4">
      <w:pPr>
        <w:spacing w:after="0"/>
      </w:pPr>
    </w:p>
    <w:p w14:paraId="1851D7BE" w14:textId="77777777" w:rsidR="00893DD0" w:rsidRDefault="00893DD0" w:rsidP="00B210C4">
      <w:pPr>
        <w:spacing w:after="0"/>
      </w:pPr>
      <w:r>
        <w:t>The Council processes criminal offence data for the following purposes in parts 1 and 2 of Schedule 1:</w:t>
      </w:r>
    </w:p>
    <w:p w14:paraId="16CE4029" w14:textId="77777777" w:rsidR="00893DD0" w:rsidRDefault="00893DD0" w:rsidP="00B210C4">
      <w:pPr>
        <w:spacing w:after="0"/>
      </w:pPr>
    </w:p>
    <w:p w14:paraId="018017DA" w14:textId="77777777" w:rsidR="00893DD0" w:rsidRDefault="00893DD0" w:rsidP="00B210C4">
      <w:pPr>
        <w:spacing w:after="0"/>
      </w:pPr>
      <w:r>
        <w:rPr>
          <w:b/>
        </w:rPr>
        <w:lastRenderedPageBreak/>
        <w:t xml:space="preserve">Paragraph 1 </w:t>
      </w:r>
      <w:r>
        <w:t>employment, social security and social protection</w:t>
      </w:r>
    </w:p>
    <w:p w14:paraId="2A1FA717" w14:textId="77777777" w:rsidR="00893DD0" w:rsidRDefault="00893DD0" w:rsidP="00B210C4">
      <w:pPr>
        <w:spacing w:after="0"/>
      </w:pPr>
      <w:r>
        <w:rPr>
          <w:b/>
        </w:rPr>
        <w:t>Paragraph 6(2)(a)</w:t>
      </w:r>
      <w:r>
        <w:t xml:space="preserve"> statutory, etc. purposes</w:t>
      </w:r>
    </w:p>
    <w:p w14:paraId="1B59ED3C" w14:textId="77777777" w:rsidR="00893DD0" w:rsidRDefault="00893DD0" w:rsidP="00B210C4">
      <w:pPr>
        <w:spacing w:after="0"/>
      </w:pPr>
      <w:r>
        <w:rPr>
          <w:b/>
        </w:rPr>
        <w:t xml:space="preserve">Paragraph (18) </w:t>
      </w:r>
      <w:r>
        <w:t>safeguarding of children and of individuals at risk</w:t>
      </w:r>
    </w:p>
    <w:p w14:paraId="63EEC789" w14:textId="77777777" w:rsidR="00893DD0" w:rsidRDefault="00893DD0" w:rsidP="00B210C4">
      <w:pPr>
        <w:spacing w:after="0"/>
      </w:pPr>
      <w:r>
        <w:rPr>
          <w:b/>
        </w:rPr>
        <w:t xml:space="preserve">Paragraph (19) </w:t>
      </w:r>
      <w:r>
        <w:t>safeguarding of economic well-being of certain individuals</w:t>
      </w:r>
    </w:p>
    <w:p w14:paraId="5A69C5D2" w14:textId="77777777" w:rsidR="00893DD0" w:rsidRDefault="00893DD0" w:rsidP="00B210C4">
      <w:pPr>
        <w:spacing w:after="0"/>
      </w:pPr>
    </w:p>
    <w:p w14:paraId="26D6F2CA" w14:textId="77777777" w:rsidR="00893DD0" w:rsidRDefault="00893DD0" w:rsidP="00B210C4">
      <w:pPr>
        <w:pStyle w:val="Heading1"/>
        <w:spacing w:before="0" w:after="0"/>
      </w:pPr>
      <w:bookmarkStart w:id="17" w:name="_Toc65078229"/>
      <w:r>
        <w:t>Procedures for ensuring compliance with the principles</w:t>
      </w:r>
      <w:bookmarkEnd w:id="17"/>
    </w:p>
    <w:p w14:paraId="1F2CFFA2" w14:textId="77777777" w:rsidR="00893DD0" w:rsidRDefault="00893DD0" w:rsidP="00B210C4">
      <w:pPr>
        <w:spacing w:after="0" w:line="240" w:lineRule="auto"/>
      </w:pPr>
    </w:p>
    <w:p w14:paraId="1C57B1EF" w14:textId="77777777" w:rsidR="00893DD0" w:rsidRDefault="00B1195C" w:rsidP="00B210C4">
      <w:pPr>
        <w:spacing w:after="0" w:line="240" w:lineRule="auto"/>
        <w:rPr>
          <w:b/>
        </w:rPr>
      </w:pPr>
      <w:r>
        <w:rPr>
          <w:b/>
        </w:rPr>
        <w:t>Accountability principle</w:t>
      </w:r>
    </w:p>
    <w:p w14:paraId="6B51ED9F" w14:textId="77777777" w:rsidR="00B1195C" w:rsidRDefault="00B1195C" w:rsidP="00B210C4">
      <w:pPr>
        <w:spacing w:after="0" w:line="240" w:lineRule="auto"/>
      </w:pPr>
    </w:p>
    <w:p w14:paraId="4115D7C2" w14:textId="77777777" w:rsidR="00B1195C" w:rsidRDefault="00020FEE" w:rsidP="00B210C4">
      <w:pPr>
        <w:spacing w:after="0" w:line="240" w:lineRule="auto"/>
      </w:pPr>
      <w:r>
        <w:t>The Council has put a number of measures in place to meet the requirements of accountability</w:t>
      </w:r>
      <w:r w:rsidR="00167EF2">
        <w:t>, these include</w:t>
      </w:r>
      <w:r w:rsidR="00D22CCF">
        <w:t>:</w:t>
      </w:r>
    </w:p>
    <w:p w14:paraId="7E031600" w14:textId="77777777" w:rsidR="00D22CCF" w:rsidRDefault="00D22CCF" w:rsidP="00B210C4">
      <w:pPr>
        <w:spacing w:after="0" w:line="240" w:lineRule="auto"/>
      </w:pPr>
    </w:p>
    <w:p w14:paraId="576FE6C0" w14:textId="77777777" w:rsidR="00D22CCF" w:rsidRDefault="00167EF2" w:rsidP="00B210C4">
      <w:pPr>
        <w:pStyle w:val="ListParagraph"/>
        <w:numPr>
          <w:ilvl w:val="0"/>
          <w:numId w:val="26"/>
        </w:numPr>
        <w:spacing w:before="0" w:after="0"/>
      </w:pPr>
      <w:r>
        <w:t>The maintenance of our Information Asset Register which documents our processing activities,</w:t>
      </w:r>
    </w:p>
    <w:p w14:paraId="7AF42B30" w14:textId="77777777" w:rsidR="00167EF2" w:rsidRDefault="00167EF2" w:rsidP="00B210C4">
      <w:pPr>
        <w:pStyle w:val="ListParagraph"/>
        <w:numPr>
          <w:ilvl w:val="0"/>
          <w:numId w:val="26"/>
        </w:numPr>
        <w:spacing w:before="0" w:after="0"/>
      </w:pPr>
      <w:r>
        <w:t>Carrying out data protection impact assessments for new projects which involve the processing of personal data,</w:t>
      </w:r>
    </w:p>
    <w:p w14:paraId="0429CFAB" w14:textId="77777777" w:rsidR="00167EF2" w:rsidRDefault="00167EF2" w:rsidP="00B210C4">
      <w:pPr>
        <w:pStyle w:val="ListParagraph"/>
        <w:numPr>
          <w:ilvl w:val="0"/>
          <w:numId w:val="26"/>
        </w:numPr>
        <w:spacing w:before="0" w:after="0"/>
      </w:pPr>
      <w:r>
        <w:t>Appointing a data protection officer, who reports directly to senior management,</w:t>
      </w:r>
    </w:p>
    <w:p w14:paraId="53109715" w14:textId="77777777" w:rsidR="00167EF2" w:rsidRDefault="00167EF2" w:rsidP="00B210C4">
      <w:pPr>
        <w:pStyle w:val="ListParagraph"/>
        <w:numPr>
          <w:ilvl w:val="0"/>
          <w:numId w:val="26"/>
        </w:numPr>
        <w:spacing w:before="0" w:after="0"/>
      </w:pPr>
      <w:r>
        <w:t>The adoption and implementation of data protection policies,</w:t>
      </w:r>
    </w:p>
    <w:p w14:paraId="3E80D0CD" w14:textId="77777777" w:rsidR="00167EF2" w:rsidRDefault="00167EF2" w:rsidP="00B210C4">
      <w:pPr>
        <w:pStyle w:val="ListParagraph"/>
        <w:numPr>
          <w:ilvl w:val="0"/>
          <w:numId w:val="26"/>
        </w:numPr>
        <w:spacing w:before="0" w:after="0"/>
      </w:pPr>
      <w:r>
        <w:t>Ensuring contracts are in place with our data processors and data processing agreements are issued to them, and</w:t>
      </w:r>
    </w:p>
    <w:p w14:paraId="6ED72FF2" w14:textId="77777777" w:rsidR="00167EF2" w:rsidRDefault="00167EF2" w:rsidP="00B210C4">
      <w:pPr>
        <w:pStyle w:val="ListParagraph"/>
        <w:numPr>
          <w:ilvl w:val="0"/>
          <w:numId w:val="26"/>
        </w:numPr>
        <w:spacing w:before="0" w:after="0"/>
      </w:pPr>
      <w:r>
        <w:t>Putting appropriate security measures in place to protect the personal data we process.</w:t>
      </w:r>
    </w:p>
    <w:p w14:paraId="50575132" w14:textId="77777777" w:rsidR="00167EF2" w:rsidRDefault="00167EF2" w:rsidP="00B210C4">
      <w:pPr>
        <w:spacing w:after="0"/>
      </w:pPr>
    </w:p>
    <w:p w14:paraId="40D2D5CA" w14:textId="77777777" w:rsidR="00167EF2" w:rsidRDefault="00167EF2" w:rsidP="00B210C4">
      <w:pPr>
        <w:spacing w:after="0"/>
      </w:pPr>
      <w:r>
        <w:t>These measures are regularly reviewed, and where appropriate updated, as and when required.</w:t>
      </w:r>
    </w:p>
    <w:p w14:paraId="73606C10" w14:textId="77777777" w:rsidR="00167EF2" w:rsidRDefault="00167EF2" w:rsidP="00B210C4">
      <w:pPr>
        <w:spacing w:after="0"/>
      </w:pPr>
    </w:p>
    <w:p w14:paraId="551E9F2B" w14:textId="77777777" w:rsidR="00167EF2" w:rsidRDefault="00167EF2" w:rsidP="00B210C4">
      <w:pPr>
        <w:spacing w:after="0"/>
        <w:rPr>
          <w:b/>
        </w:rPr>
      </w:pPr>
      <w:r>
        <w:rPr>
          <w:b/>
        </w:rPr>
        <w:t>Principle (a): lawfulness, fairness and transparency</w:t>
      </w:r>
    </w:p>
    <w:p w14:paraId="12CD0A1E" w14:textId="77777777" w:rsidR="00B92F13" w:rsidRDefault="00B92F13" w:rsidP="00B210C4">
      <w:pPr>
        <w:spacing w:after="0"/>
        <w:rPr>
          <w:b/>
        </w:rPr>
      </w:pPr>
    </w:p>
    <w:p w14:paraId="5F09DE0A" w14:textId="77777777" w:rsidR="00B92F13" w:rsidRDefault="00791FAC" w:rsidP="00B210C4">
      <w:pPr>
        <w:spacing w:after="0"/>
        <w:jc w:val="both"/>
      </w:pPr>
      <w:r>
        <w:t>For processing to be lawful it has to be based on law and either the data subject will have given their consent, or the processing will meet at least one of the conditions in Schedule 1 of DPA 2018. The Council ensures it provides clear and transparent information about why we are processing personal data, in the various privacy notices on our website.</w:t>
      </w:r>
    </w:p>
    <w:p w14:paraId="189807DE" w14:textId="77777777" w:rsidR="00791FAC" w:rsidRDefault="00791FAC" w:rsidP="00B210C4">
      <w:pPr>
        <w:spacing w:after="0"/>
        <w:jc w:val="both"/>
      </w:pPr>
    </w:p>
    <w:p w14:paraId="1B728826" w14:textId="77777777" w:rsidR="00791FAC" w:rsidRDefault="00791FAC" w:rsidP="00B210C4">
      <w:pPr>
        <w:spacing w:after="0"/>
        <w:jc w:val="both"/>
      </w:pPr>
      <w:r>
        <w:t>When we process data for substantial public interest it is necessary to fulfil the various functions conferred on the Council.</w:t>
      </w:r>
      <w:r w:rsidR="00184B54">
        <w:t xml:space="preserve">  Th</w:t>
      </w:r>
      <w:r w:rsidR="00264078">
        <w:t>is is because the</w:t>
      </w:r>
      <w:r w:rsidR="00184B54">
        <w:t xml:space="preserve"> Council has a legal obligation to </w:t>
      </w:r>
      <w:r w:rsidR="00264078">
        <w:t>carry out these functions which are</w:t>
      </w:r>
      <w:r w:rsidR="00184B54">
        <w:t xml:space="preserve"> laid down in legislation.</w:t>
      </w:r>
    </w:p>
    <w:p w14:paraId="13DDCBA3" w14:textId="77777777" w:rsidR="00791FAC" w:rsidRDefault="00791FAC" w:rsidP="00B210C4">
      <w:pPr>
        <w:spacing w:after="0"/>
      </w:pPr>
    </w:p>
    <w:p w14:paraId="3ED9D7AC" w14:textId="77777777" w:rsidR="00264078" w:rsidRDefault="00791FAC" w:rsidP="00B210C4">
      <w:pPr>
        <w:spacing w:after="0"/>
        <w:jc w:val="both"/>
      </w:pPr>
      <w:r>
        <w:t>We have to process data for the purposes of employment, this is in relation to our obligations as an employer.</w:t>
      </w:r>
    </w:p>
    <w:p w14:paraId="4633C8CF" w14:textId="77777777" w:rsidR="00264078" w:rsidRDefault="00264078" w:rsidP="00B210C4">
      <w:pPr>
        <w:spacing w:after="0"/>
      </w:pPr>
    </w:p>
    <w:p w14:paraId="4BAB998C" w14:textId="77777777" w:rsidR="00791FAC" w:rsidRPr="004442B4" w:rsidRDefault="00264078" w:rsidP="00B210C4">
      <w:pPr>
        <w:spacing w:after="0"/>
        <w:jc w:val="both"/>
      </w:pPr>
      <w:r>
        <w:t>The Council will also process special category data to comply with other obligations it is responsible for in its role as a local government body.</w:t>
      </w:r>
    </w:p>
    <w:p w14:paraId="112E5C5D" w14:textId="77777777" w:rsidR="00167EF2" w:rsidRDefault="00167EF2" w:rsidP="00B210C4">
      <w:pPr>
        <w:spacing w:after="0"/>
      </w:pPr>
    </w:p>
    <w:p w14:paraId="3A9A20B8" w14:textId="77777777" w:rsidR="00167EF2" w:rsidRDefault="00256B5D" w:rsidP="00B210C4">
      <w:pPr>
        <w:spacing w:after="0"/>
        <w:rPr>
          <w:b/>
        </w:rPr>
      </w:pPr>
      <w:r>
        <w:rPr>
          <w:b/>
        </w:rPr>
        <w:t>Principle (b): purpose limitation</w:t>
      </w:r>
    </w:p>
    <w:p w14:paraId="45E610E1" w14:textId="77777777" w:rsidR="00264078" w:rsidRDefault="00264078" w:rsidP="00B210C4">
      <w:pPr>
        <w:spacing w:after="0"/>
        <w:rPr>
          <w:b/>
        </w:rPr>
      </w:pPr>
    </w:p>
    <w:p w14:paraId="26226001" w14:textId="77777777" w:rsidR="004442B4" w:rsidRDefault="004442B4" w:rsidP="00B210C4">
      <w:pPr>
        <w:spacing w:after="0"/>
        <w:jc w:val="both"/>
      </w:pPr>
      <w:r>
        <w:t xml:space="preserve">As explained above the Council processes personal data for purposes of substantial public interest where the processing is necessary to fulfil its statutory functions, for the </w:t>
      </w:r>
      <w:r w:rsidRPr="004442B4">
        <w:t>prevent</w:t>
      </w:r>
      <w:r>
        <w:t>ion or detection of</w:t>
      </w:r>
      <w:r w:rsidRPr="004442B4">
        <w:t xml:space="preserve"> unlawful acts</w:t>
      </w:r>
      <w:r>
        <w:t>, to</w:t>
      </w:r>
      <w:r w:rsidRPr="004442B4">
        <w:rPr>
          <w:b/>
        </w:rPr>
        <w:t xml:space="preserve"> </w:t>
      </w:r>
      <w:r>
        <w:t>protect</w:t>
      </w:r>
      <w:r w:rsidRPr="004442B4">
        <w:t xml:space="preserve"> the public against dishonesty</w:t>
      </w:r>
      <w:r>
        <w:t>, for purposes of</w:t>
      </w:r>
      <w:r w:rsidRPr="004442B4">
        <w:rPr>
          <w:b/>
        </w:rPr>
        <w:t xml:space="preserve"> </w:t>
      </w:r>
      <w:r w:rsidRPr="004442B4">
        <w:t>preventing fraud</w:t>
      </w:r>
      <w:r>
        <w:t xml:space="preserve">, to </w:t>
      </w:r>
      <w:r w:rsidRPr="004442B4">
        <w:t>safeguard children and of individuals at risk</w:t>
      </w:r>
      <w:r>
        <w:t xml:space="preserve">, and the </w:t>
      </w:r>
      <w:r w:rsidRPr="004442B4">
        <w:t>economic well-being of certain individuals</w:t>
      </w:r>
      <w:r>
        <w:t xml:space="preserve"> or for d</w:t>
      </w:r>
      <w:r w:rsidRPr="004442B4">
        <w:t xml:space="preserve">isclosure </w:t>
      </w:r>
      <w:r w:rsidRPr="004442B4">
        <w:lastRenderedPageBreak/>
        <w:t>to elected representatives</w:t>
      </w:r>
      <w:r>
        <w:t>.</w:t>
      </w:r>
      <w:r w:rsidR="00EA5661" w:rsidRPr="00EA5661">
        <w:t xml:space="preserve"> </w:t>
      </w:r>
      <w:r w:rsidR="00EA5661">
        <w:t xml:space="preserve">The law authorises the Council to process personal data for these purposes.  </w:t>
      </w:r>
    </w:p>
    <w:p w14:paraId="0FC9DF28" w14:textId="77777777" w:rsidR="004442B4" w:rsidRDefault="004442B4" w:rsidP="00B210C4">
      <w:pPr>
        <w:spacing w:after="0"/>
        <w:jc w:val="both"/>
      </w:pPr>
    </w:p>
    <w:p w14:paraId="4E82BE5F" w14:textId="77777777" w:rsidR="004442B4" w:rsidRDefault="00EA5661" w:rsidP="00B210C4">
      <w:pPr>
        <w:spacing w:after="0"/>
        <w:jc w:val="both"/>
      </w:pPr>
      <w:r>
        <w:t xml:space="preserve">The processing </w:t>
      </w:r>
      <w:r w:rsidR="00B73A11">
        <w:t>t</w:t>
      </w:r>
      <w:r>
        <w:t>he Council</w:t>
      </w:r>
      <w:r w:rsidR="00B73A11">
        <w:t xml:space="preserve"> carries out will be</w:t>
      </w:r>
      <w:r w:rsidR="004442B4">
        <w:t xml:space="preserve"> for any one of the purposes</w:t>
      </w:r>
      <w:r>
        <w:t xml:space="preserve"> above</w:t>
      </w:r>
      <w:r w:rsidR="004442B4">
        <w:t xml:space="preserve"> (whether </w:t>
      </w:r>
      <w:r w:rsidR="00B73A11">
        <w:t xml:space="preserve">it was collected </w:t>
      </w:r>
      <w:r w:rsidR="004442B4">
        <w:t xml:space="preserve">by us or by another controller), </w:t>
      </w:r>
      <w:r w:rsidR="00B73A11">
        <w:t>only when</w:t>
      </w:r>
      <w:r w:rsidR="004442B4">
        <w:t xml:space="preserve"> the processing is necessary and proportionate to that purpose.</w:t>
      </w:r>
    </w:p>
    <w:p w14:paraId="08CE2F3D" w14:textId="77777777" w:rsidR="004442B4" w:rsidRDefault="004442B4" w:rsidP="004442B4">
      <w:pPr>
        <w:spacing w:after="0"/>
      </w:pPr>
    </w:p>
    <w:p w14:paraId="68F6D9C6" w14:textId="77777777" w:rsidR="004442B4" w:rsidRDefault="004442B4" w:rsidP="00B210C4">
      <w:pPr>
        <w:spacing w:after="0"/>
        <w:jc w:val="both"/>
      </w:pPr>
      <w:r>
        <w:t>When we are asked to share data or we decide to share with another controller, this will be documented</w:t>
      </w:r>
      <w:r w:rsidR="00EA5661">
        <w:t>.  We will only share with those organisations who</w:t>
      </w:r>
      <w:r>
        <w:t xml:space="preserve"> are authorised by law to process data for their purpose.</w:t>
      </w:r>
    </w:p>
    <w:p w14:paraId="610D7DFC" w14:textId="77777777" w:rsidR="004442B4" w:rsidRDefault="004442B4" w:rsidP="004442B4">
      <w:pPr>
        <w:spacing w:after="0"/>
      </w:pPr>
    </w:p>
    <w:p w14:paraId="5DA70C74" w14:textId="77777777" w:rsidR="004442B4" w:rsidRDefault="004442B4" w:rsidP="004442B4">
      <w:pPr>
        <w:spacing w:after="0"/>
      </w:pPr>
      <w:r>
        <w:t>The Council will not process personal data for purposes incompatible with the original purpose it was collected for.</w:t>
      </w:r>
    </w:p>
    <w:p w14:paraId="6C95AB29" w14:textId="77777777" w:rsidR="00256B5D" w:rsidRDefault="00256B5D" w:rsidP="00B210C4">
      <w:pPr>
        <w:spacing w:after="0"/>
        <w:rPr>
          <w:b/>
        </w:rPr>
      </w:pPr>
    </w:p>
    <w:p w14:paraId="44D428C0" w14:textId="77777777" w:rsidR="00256B5D" w:rsidRDefault="00256B5D" w:rsidP="00B210C4">
      <w:pPr>
        <w:spacing w:after="0" w:line="240" w:lineRule="auto"/>
        <w:rPr>
          <w:b/>
        </w:rPr>
      </w:pPr>
      <w:r>
        <w:rPr>
          <w:b/>
        </w:rPr>
        <w:t>Principle (c): data minimisation</w:t>
      </w:r>
    </w:p>
    <w:p w14:paraId="1A2C141C" w14:textId="77777777" w:rsidR="00256B5D" w:rsidRDefault="00256B5D" w:rsidP="00B210C4">
      <w:pPr>
        <w:spacing w:after="0" w:line="240" w:lineRule="auto"/>
        <w:rPr>
          <w:b/>
        </w:rPr>
      </w:pPr>
    </w:p>
    <w:p w14:paraId="280C3F27" w14:textId="77777777" w:rsidR="004442B4" w:rsidRDefault="004442B4" w:rsidP="00B210C4">
      <w:pPr>
        <w:spacing w:after="0"/>
        <w:jc w:val="both"/>
      </w:pPr>
      <w:r>
        <w:t xml:space="preserve">The Council only collects personal data </w:t>
      </w:r>
      <w:r w:rsidR="005E1E30">
        <w:t xml:space="preserve">which is necessary and proportionate, and </w:t>
      </w:r>
      <w:r w:rsidR="00A008A6">
        <w:t xml:space="preserve">makes sure it is not excessive.  </w:t>
      </w:r>
      <w:r w:rsidR="00B73A11">
        <w:t>If the Council receives or obtains more data</w:t>
      </w:r>
      <w:r w:rsidR="00A008A6">
        <w:t xml:space="preserve"> than is </w:t>
      </w:r>
      <w:r w:rsidR="00B73A11">
        <w:t xml:space="preserve">necessary for its purposes, it will ensure it is </w:t>
      </w:r>
      <w:r w:rsidR="00A008A6">
        <w:t>erased.</w:t>
      </w:r>
    </w:p>
    <w:p w14:paraId="78DF91DB" w14:textId="77777777" w:rsidR="00A008A6" w:rsidRPr="00B210C4" w:rsidRDefault="00A008A6" w:rsidP="00B210C4">
      <w:pPr>
        <w:spacing w:after="0"/>
      </w:pPr>
    </w:p>
    <w:p w14:paraId="33EB84D5" w14:textId="77777777" w:rsidR="00256B5D" w:rsidRDefault="00256B5D" w:rsidP="00B210C4">
      <w:pPr>
        <w:spacing w:after="0"/>
        <w:rPr>
          <w:b/>
        </w:rPr>
      </w:pPr>
      <w:r>
        <w:rPr>
          <w:b/>
        </w:rPr>
        <w:t>Principle (d): accuracy</w:t>
      </w:r>
    </w:p>
    <w:p w14:paraId="6D53A609" w14:textId="77777777" w:rsidR="00256B5D" w:rsidRDefault="00256B5D" w:rsidP="00B210C4">
      <w:pPr>
        <w:spacing w:after="0"/>
        <w:rPr>
          <w:b/>
        </w:rPr>
      </w:pPr>
    </w:p>
    <w:p w14:paraId="3D158C20" w14:textId="77777777" w:rsidR="00A008A6" w:rsidRDefault="00A008A6" w:rsidP="00B210C4">
      <w:pPr>
        <w:spacing w:after="0"/>
        <w:jc w:val="both"/>
      </w:pPr>
      <w:r>
        <w:t>The Council will take all reasonable steps to ensure that the data it holds is accurate and up to date.  Where it becomes aware that this is not the case it will take appropriate measures available to rectify or erase this data.  Where the right to erasure or rectification does not apply, the Council will record this decision.</w:t>
      </w:r>
    </w:p>
    <w:p w14:paraId="7EAD6DFB" w14:textId="77777777" w:rsidR="00A008A6" w:rsidRPr="00B210C4" w:rsidRDefault="00A008A6" w:rsidP="00B210C4">
      <w:pPr>
        <w:spacing w:after="0"/>
      </w:pPr>
    </w:p>
    <w:p w14:paraId="5E612587" w14:textId="77777777" w:rsidR="00256B5D" w:rsidRDefault="00256B5D" w:rsidP="00B210C4">
      <w:pPr>
        <w:spacing w:after="0"/>
        <w:rPr>
          <w:b/>
        </w:rPr>
      </w:pPr>
      <w:r>
        <w:rPr>
          <w:b/>
        </w:rPr>
        <w:t>Principle (e): storage limitation</w:t>
      </w:r>
    </w:p>
    <w:p w14:paraId="4FE982E2" w14:textId="77777777" w:rsidR="00256B5D" w:rsidRDefault="00256B5D" w:rsidP="00B210C4">
      <w:pPr>
        <w:spacing w:after="0"/>
        <w:rPr>
          <w:b/>
        </w:rPr>
      </w:pPr>
    </w:p>
    <w:p w14:paraId="4C4F05F2" w14:textId="77777777" w:rsidR="00A008A6" w:rsidRDefault="00A008A6" w:rsidP="00B210C4">
      <w:pPr>
        <w:spacing w:after="0"/>
        <w:jc w:val="both"/>
      </w:pPr>
      <w:r>
        <w:t>The Council has, and maintains, a records retention schedule, which sets out how long personal data is retained for.  That is unless the data is required to be retained longer for archiving purposes.  Retention periods are determined based on legislation, audit requirements, and our business needs.  The retention schedule is reviewed on a regular basis and updated as and when required.</w:t>
      </w:r>
    </w:p>
    <w:p w14:paraId="0EA3F9B2" w14:textId="77777777" w:rsidR="00A008A6" w:rsidRPr="00B210C4" w:rsidRDefault="00A008A6" w:rsidP="00B210C4">
      <w:pPr>
        <w:spacing w:after="0"/>
      </w:pPr>
    </w:p>
    <w:p w14:paraId="43AEE0E7" w14:textId="77777777" w:rsidR="00256B5D" w:rsidRDefault="00256B5D" w:rsidP="00B210C4">
      <w:pPr>
        <w:spacing w:after="0"/>
        <w:rPr>
          <w:b/>
        </w:rPr>
      </w:pPr>
      <w:r>
        <w:rPr>
          <w:b/>
        </w:rPr>
        <w:t>Principle (f): integrity and confidentiality</w:t>
      </w:r>
      <w:r w:rsidR="00A008A6">
        <w:rPr>
          <w:b/>
        </w:rPr>
        <w:t xml:space="preserve"> (security)</w:t>
      </w:r>
    </w:p>
    <w:p w14:paraId="26F6E373" w14:textId="77777777" w:rsidR="00256B5D" w:rsidRDefault="00256B5D" w:rsidP="00B210C4">
      <w:pPr>
        <w:spacing w:after="0"/>
        <w:rPr>
          <w:b/>
        </w:rPr>
      </w:pPr>
    </w:p>
    <w:p w14:paraId="68806AF9" w14:textId="77777777" w:rsidR="00A008A6" w:rsidRDefault="00A008A6" w:rsidP="00B210C4">
      <w:pPr>
        <w:spacing w:after="0"/>
        <w:jc w:val="both"/>
      </w:pPr>
      <w:r>
        <w:t xml:space="preserve">The Council has taken the necessary steps to ensure its data is processed on its secure network.  </w:t>
      </w:r>
      <w:r w:rsidR="00EA5661">
        <w:t>All information stored in h</w:t>
      </w:r>
      <w:r>
        <w:t xml:space="preserve">ard copy </w:t>
      </w:r>
      <w:r w:rsidR="00EA5661">
        <w:t>is processed</w:t>
      </w:r>
      <w:r>
        <w:t xml:space="preserve"> in accordance with our </w:t>
      </w:r>
      <w:r w:rsidR="00EA5661">
        <w:t xml:space="preserve">access and </w:t>
      </w:r>
      <w:r>
        <w:t>security policies and procedures.</w:t>
      </w:r>
    </w:p>
    <w:p w14:paraId="2194B524" w14:textId="77777777" w:rsidR="00A008A6" w:rsidRDefault="00A008A6" w:rsidP="00B210C4">
      <w:pPr>
        <w:spacing w:after="0"/>
        <w:jc w:val="both"/>
      </w:pPr>
    </w:p>
    <w:p w14:paraId="60F5E205" w14:textId="77777777" w:rsidR="00A008A6" w:rsidRDefault="00A008A6" w:rsidP="00B210C4">
      <w:pPr>
        <w:spacing w:after="0"/>
        <w:jc w:val="both"/>
      </w:pPr>
      <w:r>
        <w:t xml:space="preserve">Electronic systems </w:t>
      </w:r>
      <w:r w:rsidR="00525E90">
        <w:t xml:space="preserve">used by the Council </w:t>
      </w:r>
      <w:r>
        <w:t>have appropriate access controls applied and</w:t>
      </w:r>
      <w:r w:rsidR="00525E90">
        <w:t xml:space="preserve"> access to</w:t>
      </w:r>
      <w:r>
        <w:t xml:space="preserve"> har</w:t>
      </w:r>
      <w:r w:rsidR="00525E90">
        <w:t>d copy data in physical storage is managed appropriately.</w:t>
      </w:r>
    </w:p>
    <w:p w14:paraId="53ECBFA5" w14:textId="77777777" w:rsidR="00525E90" w:rsidRDefault="00525E90" w:rsidP="00B210C4">
      <w:pPr>
        <w:spacing w:after="0"/>
        <w:jc w:val="both"/>
      </w:pPr>
    </w:p>
    <w:p w14:paraId="3C80F103" w14:textId="04855D32" w:rsidR="00525E90" w:rsidRPr="00B210C4" w:rsidRDefault="00525E90" w:rsidP="00B210C4">
      <w:pPr>
        <w:spacing w:after="0"/>
        <w:jc w:val="both"/>
      </w:pPr>
      <w:r>
        <w:t>Personal data held in the Council’s electronic system</w:t>
      </w:r>
      <w:r w:rsidR="0011522F">
        <w:t>s</w:t>
      </w:r>
      <w:r>
        <w:t xml:space="preserve"> can be updated or erased when it is right and appropriate to do so.</w:t>
      </w:r>
      <w:r w:rsidR="00A463BE">
        <w:br/>
      </w:r>
      <w:r w:rsidR="00A463BE">
        <w:br/>
      </w:r>
      <w:r w:rsidR="00A463BE">
        <w:lastRenderedPageBreak/>
        <w:br/>
      </w:r>
      <w:r w:rsidR="00A463BE">
        <w:br/>
      </w:r>
      <w:r w:rsidR="00A463BE">
        <w:br/>
      </w:r>
    </w:p>
    <w:p w14:paraId="39AAD249" w14:textId="77777777" w:rsidR="00EA5661" w:rsidRDefault="00EA5661" w:rsidP="00B210C4">
      <w:pPr>
        <w:spacing w:after="0"/>
      </w:pPr>
    </w:p>
    <w:p w14:paraId="69521E52" w14:textId="77777777" w:rsidR="00256B5D" w:rsidRPr="00B210C4" w:rsidRDefault="00256B5D" w:rsidP="00B210C4">
      <w:pPr>
        <w:spacing w:after="0"/>
        <w:rPr>
          <w:b/>
        </w:rPr>
      </w:pPr>
      <w:r w:rsidRPr="00B210C4">
        <w:rPr>
          <w:b/>
        </w:rPr>
        <w:t>Retention and erasure policies</w:t>
      </w:r>
    </w:p>
    <w:p w14:paraId="0E622DE6" w14:textId="77777777" w:rsidR="00525E90" w:rsidRDefault="00525E90" w:rsidP="00B210C4">
      <w:pPr>
        <w:spacing w:after="0"/>
      </w:pPr>
    </w:p>
    <w:p w14:paraId="67877890" w14:textId="77777777" w:rsidR="00525E90" w:rsidRDefault="00525E90" w:rsidP="00B210C4">
      <w:pPr>
        <w:spacing w:after="0"/>
        <w:jc w:val="both"/>
      </w:pPr>
      <w:r>
        <w:t>The Council’s retention and disposal policies are set out in its Information and Records Management Policy and Retention Schedule.</w:t>
      </w:r>
    </w:p>
    <w:p w14:paraId="6D97D5E2" w14:textId="77777777" w:rsidR="00BF47DF" w:rsidRDefault="00BF47DF" w:rsidP="00B210C4">
      <w:pPr>
        <w:spacing w:after="0" w:line="240" w:lineRule="auto"/>
      </w:pPr>
    </w:p>
    <w:p w14:paraId="74F520BB" w14:textId="77777777" w:rsidR="00256B5D" w:rsidRDefault="00256B5D" w:rsidP="00B210C4">
      <w:pPr>
        <w:pStyle w:val="Heading1"/>
        <w:spacing w:before="0" w:after="0"/>
      </w:pPr>
      <w:bookmarkStart w:id="18" w:name="_Toc65078230"/>
      <w:r>
        <w:t>Appropriate Policy Document review date</w:t>
      </w:r>
      <w:bookmarkEnd w:id="18"/>
    </w:p>
    <w:p w14:paraId="7AF599D8" w14:textId="77777777" w:rsidR="00256B5D" w:rsidRDefault="00256B5D" w:rsidP="00B210C4">
      <w:pPr>
        <w:spacing w:after="0" w:line="240" w:lineRule="auto"/>
        <w:rPr>
          <w:b/>
        </w:rPr>
      </w:pPr>
    </w:p>
    <w:p w14:paraId="3B1BF3AC" w14:textId="77777777" w:rsidR="00256B5D" w:rsidRDefault="00256B5D" w:rsidP="00B210C4">
      <w:pPr>
        <w:spacing w:after="0" w:line="240" w:lineRule="auto"/>
        <w:jc w:val="both"/>
      </w:pPr>
      <w:r>
        <w:t>This policy will be retained for the duration of our processing and for a minimum of 6 months after processing ceases.</w:t>
      </w:r>
    </w:p>
    <w:p w14:paraId="3A5FDF3B" w14:textId="77777777" w:rsidR="00256B5D" w:rsidRDefault="00256B5D" w:rsidP="00B210C4">
      <w:pPr>
        <w:spacing w:after="0" w:line="240" w:lineRule="auto"/>
      </w:pPr>
    </w:p>
    <w:p w14:paraId="0B03BACC" w14:textId="77777777" w:rsidR="00256B5D" w:rsidRDefault="00256B5D" w:rsidP="00B210C4">
      <w:pPr>
        <w:spacing w:after="0" w:line="240" w:lineRule="auto"/>
      </w:pPr>
      <w:r>
        <w:t>This policy will be reviewed annually or revised more frequently if necessary.</w:t>
      </w:r>
    </w:p>
    <w:p w14:paraId="2921C7DA" w14:textId="77777777" w:rsidR="00256B5D" w:rsidRDefault="00256B5D" w:rsidP="00B210C4">
      <w:pPr>
        <w:spacing w:after="0" w:line="240" w:lineRule="auto"/>
      </w:pPr>
    </w:p>
    <w:p w14:paraId="0FFCC253" w14:textId="77777777" w:rsidR="00256B5D" w:rsidRDefault="00256B5D" w:rsidP="00B210C4">
      <w:pPr>
        <w:pStyle w:val="Heading1"/>
        <w:spacing w:before="0" w:after="0"/>
      </w:pPr>
      <w:bookmarkStart w:id="19" w:name="_Toc65078231"/>
      <w:r>
        <w:t>Additional special category processing</w:t>
      </w:r>
      <w:bookmarkEnd w:id="19"/>
    </w:p>
    <w:p w14:paraId="6EB7B29B" w14:textId="77777777" w:rsidR="00256B5D" w:rsidRPr="00256B5D" w:rsidRDefault="00256B5D" w:rsidP="00B210C4">
      <w:pPr>
        <w:spacing w:after="0" w:line="240" w:lineRule="auto"/>
        <w:rPr>
          <w:b/>
        </w:rPr>
      </w:pPr>
    </w:p>
    <w:p w14:paraId="184BD6F4" w14:textId="77777777" w:rsidR="00256B5D" w:rsidRDefault="00256B5D" w:rsidP="00B210C4">
      <w:pPr>
        <w:spacing w:after="0" w:line="240" w:lineRule="auto"/>
        <w:jc w:val="both"/>
      </w:pPr>
      <w:r>
        <w:t>The Council carries out processing of special category data w</w:t>
      </w:r>
      <w:r w:rsidR="00761A52">
        <w:t>h</w:t>
      </w:r>
      <w:r>
        <w:t xml:space="preserve">ere it is not required to have an appropriate policy document.  This processing is lawful, fair and transparent, and is documented in the privacy notices on the privacy page of our website.  </w:t>
      </w:r>
    </w:p>
    <w:p w14:paraId="3081FED2" w14:textId="77777777" w:rsidR="00256B5D" w:rsidRDefault="00256B5D" w:rsidP="00B210C4">
      <w:pPr>
        <w:spacing w:after="0" w:line="240" w:lineRule="auto"/>
      </w:pPr>
    </w:p>
    <w:p w14:paraId="06199044" w14:textId="77777777" w:rsidR="00256B5D" w:rsidRPr="00256B5D" w:rsidRDefault="00256B5D" w:rsidP="00B210C4">
      <w:pPr>
        <w:pStyle w:val="Heading1"/>
        <w:spacing w:before="0" w:after="0"/>
      </w:pPr>
      <w:bookmarkStart w:id="20" w:name="_Toc65078232"/>
      <w:r>
        <w:t>Further information</w:t>
      </w:r>
      <w:bookmarkEnd w:id="20"/>
    </w:p>
    <w:p w14:paraId="1DC0293E" w14:textId="77777777" w:rsidR="00256B5D" w:rsidRDefault="00256B5D" w:rsidP="00B210C4">
      <w:pPr>
        <w:spacing w:after="0" w:line="240" w:lineRule="auto"/>
        <w:rPr>
          <w:b/>
        </w:rPr>
      </w:pPr>
    </w:p>
    <w:p w14:paraId="6FFAED43" w14:textId="77777777" w:rsidR="00256B5D" w:rsidRPr="0043197E" w:rsidRDefault="0043197E" w:rsidP="00B210C4">
      <w:pPr>
        <w:spacing w:after="0" w:line="240" w:lineRule="auto"/>
      </w:pPr>
      <w:r>
        <w:t xml:space="preserve">The Council’s Information Governance Team can be contacted for further information about this policy document at </w:t>
      </w:r>
      <w:hyperlink r:id="rId14" w:history="1">
        <w:r w:rsidRPr="009A052F">
          <w:rPr>
            <w:rStyle w:val="Hyperlink"/>
          </w:rPr>
          <w:t>information.governance@doncaster.gov.uk</w:t>
        </w:r>
      </w:hyperlink>
      <w:r>
        <w:t xml:space="preserve">.   </w:t>
      </w:r>
    </w:p>
    <w:p w14:paraId="086D16F5" w14:textId="77777777" w:rsidR="00167EF2" w:rsidRPr="00B210C4" w:rsidRDefault="00167EF2" w:rsidP="00B210C4">
      <w:pPr>
        <w:pStyle w:val="ListParagraph"/>
        <w:numPr>
          <w:ilvl w:val="0"/>
          <w:numId w:val="0"/>
        </w:numPr>
        <w:spacing w:before="0" w:after="0"/>
        <w:ind w:left="720"/>
      </w:pPr>
    </w:p>
    <w:p w14:paraId="5C1672F8" w14:textId="77777777" w:rsidR="00BE5EB6" w:rsidRPr="00BE5EB6" w:rsidRDefault="00BE5EB6" w:rsidP="00B210C4">
      <w:pPr>
        <w:spacing w:after="0"/>
      </w:pPr>
    </w:p>
    <w:p w14:paraId="6445763F" w14:textId="77777777" w:rsidR="002D48BE" w:rsidRDefault="002D48BE" w:rsidP="00B210C4">
      <w:pPr>
        <w:spacing w:after="0" w:line="240" w:lineRule="auto"/>
      </w:pPr>
    </w:p>
    <w:p w14:paraId="57D64D24" w14:textId="77777777" w:rsidR="000171EA" w:rsidRPr="00450728" w:rsidRDefault="000171EA" w:rsidP="00B210C4">
      <w:pPr>
        <w:ind w:left="357"/>
      </w:pPr>
    </w:p>
    <w:sectPr w:rsidR="000171EA" w:rsidRPr="00450728" w:rsidSect="008233C7">
      <w:footerReference w:type="default" r:id="rId15"/>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24F8" w14:textId="77777777" w:rsidR="00993EBA" w:rsidRDefault="00993EBA" w:rsidP="006F736E">
      <w:r>
        <w:separator/>
      </w:r>
    </w:p>
  </w:endnote>
  <w:endnote w:type="continuationSeparator" w:id="0">
    <w:p w14:paraId="2661B5E2" w14:textId="77777777" w:rsidR="00993EBA" w:rsidRDefault="00993EBA" w:rsidP="006F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DFC6" w14:textId="2840F763" w:rsidR="00F35AE0" w:rsidRDefault="00F35AE0" w:rsidP="00830461">
    <w:pPr>
      <w:pStyle w:val="Footer"/>
    </w:pPr>
    <w:r>
      <w:t>Protecting Special Category Data Policy v</w:t>
    </w:r>
    <w:r w:rsidR="00B84E1D">
      <w:t>3</w:t>
    </w:r>
    <w:r>
      <w:t>.0</w:t>
    </w:r>
  </w:p>
  <w:p w14:paraId="695B99C6" w14:textId="77777777" w:rsidR="00F35AE0" w:rsidRDefault="00F35AE0" w:rsidP="00830461">
    <w:pPr>
      <w:pStyle w:val="Footer"/>
    </w:pPr>
    <w:r>
      <w:t>Information Governance</w:t>
    </w:r>
  </w:p>
  <w:p w14:paraId="7A2741E1" w14:textId="621F423E" w:rsidR="00F35AE0" w:rsidRPr="00830461" w:rsidRDefault="0056303A" w:rsidP="00830461">
    <w:pPr>
      <w:pStyle w:val="Footer"/>
    </w:pPr>
    <w:r>
      <w:t>October</w:t>
    </w:r>
    <w:r w:rsidR="00B84E1D">
      <w:t xml:space="preserve"> 2023</w:t>
    </w:r>
    <w:r w:rsidR="00F35AE0">
      <w:ptab w:relativeTo="margin" w:alignment="right" w:leader="none"/>
    </w:r>
    <w:r w:rsidR="00F35AE0">
      <w:t xml:space="preserve">Page </w:t>
    </w:r>
    <w:r w:rsidR="00F35AE0">
      <w:fldChar w:fldCharType="begin"/>
    </w:r>
    <w:r w:rsidR="00F35AE0">
      <w:instrText xml:space="preserve"> PAGE  \* Arabic  \* MERGEFORMAT </w:instrText>
    </w:r>
    <w:r w:rsidR="00F35AE0">
      <w:fldChar w:fldCharType="separate"/>
    </w:r>
    <w:r w:rsidR="000B239E">
      <w:rPr>
        <w:noProof/>
      </w:rPr>
      <w:t>3</w:t>
    </w:r>
    <w:r w:rsidR="00F35AE0">
      <w:fldChar w:fldCharType="end"/>
    </w:r>
    <w:r w:rsidR="00F35AE0">
      <w:t xml:space="preserve"> of </w:t>
    </w:r>
    <w:fldSimple w:instr=" NUMPAGES  \* Arabic  \* MERGEFORMAT ">
      <w:r w:rsidR="000B239E">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B7E8" w14:textId="77777777" w:rsidR="00993EBA" w:rsidRDefault="00993EBA" w:rsidP="006F736E">
      <w:r>
        <w:separator/>
      </w:r>
    </w:p>
  </w:footnote>
  <w:footnote w:type="continuationSeparator" w:id="0">
    <w:p w14:paraId="0E73BC90" w14:textId="77777777" w:rsidR="00993EBA" w:rsidRDefault="00993EBA" w:rsidP="006F7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527"/>
    <w:multiLevelType w:val="hybridMultilevel"/>
    <w:tmpl w:val="1B48215E"/>
    <w:lvl w:ilvl="0" w:tplc="71486D44">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ED52BA8"/>
    <w:multiLevelType w:val="multilevel"/>
    <w:tmpl w:val="FF24C1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B5235"/>
    <w:multiLevelType w:val="hybridMultilevel"/>
    <w:tmpl w:val="1ECE0D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0330B"/>
    <w:multiLevelType w:val="multilevel"/>
    <w:tmpl w:val="C97E841A"/>
    <w:lvl w:ilvl="0">
      <w:start w:val="1"/>
      <w:numFmt w:val="decimal"/>
      <w:lvlText w:val="%1."/>
      <w:lvlJc w:val="left"/>
      <w:pPr>
        <w:ind w:left="360" w:hanging="360"/>
      </w:pPr>
      <w:rPr>
        <w:rFonts w:hint="default"/>
      </w:rPr>
    </w:lvl>
    <w:lvl w:ilvl="1">
      <w:start w:val="12"/>
      <w:numFmt w:val="decimal"/>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047E7B"/>
    <w:multiLevelType w:val="hybridMultilevel"/>
    <w:tmpl w:val="0E644DF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CF66CE"/>
    <w:multiLevelType w:val="hybridMultilevel"/>
    <w:tmpl w:val="3318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03DE3"/>
    <w:multiLevelType w:val="multilevel"/>
    <w:tmpl w:val="0126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11E53"/>
    <w:multiLevelType w:val="hybridMultilevel"/>
    <w:tmpl w:val="FD96167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921C1"/>
    <w:multiLevelType w:val="hybridMultilevel"/>
    <w:tmpl w:val="5322C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FA569A"/>
    <w:multiLevelType w:val="multilevel"/>
    <w:tmpl w:val="C7D6F7F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B43EB"/>
    <w:multiLevelType w:val="multilevel"/>
    <w:tmpl w:val="B490B07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182F03"/>
    <w:multiLevelType w:val="hybridMultilevel"/>
    <w:tmpl w:val="9418D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A3481B"/>
    <w:multiLevelType w:val="multilevel"/>
    <w:tmpl w:val="E1087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5407BD"/>
    <w:multiLevelType w:val="multilevel"/>
    <w:tmpl w:val="94BEBF54"/>
    <w:lvl w:ilvl="0">
      <w:start w:val="1"/>
      <w:numFmt w:val="decimal"/>
      <w:lvlText w:val="%1."/>
      <w:lvlJc w:val="left"/>
      <w:pPr>
        <w:ind w:left="360" w:hanging="360"/>
      </w:pPr>
      <w:rPr>
        <w:rFonts w:hint="default"/>
      </w:rPr>
    </w:lvl>
    <w:lvl w:ilvl="1">
      <w:start w:val="28"/>
      <w:numFmt w:val="decimal"/>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8F6C65"/>
    <w:multiLevelType w:val="hybridMultilevel"/>
    <w:tmpl w:val="091E425A"/>
    <w:lvl w:ilvl="0" w:tplc="FEA4627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8672D"/>
    <w:multiLevelType w:val="multilevel"/>
    <w:tmpl w:val="F2DEF2A0"/>
    <w:lvl w:ilvl="0">
      <w:start w:val="1"/>
      <w:numFmt w:val="decimal"/>
      <w:lvlText w:val="%1."/>
      <w:lvlJc w:val="left"/>
      <w:pPr>
        <w:ind w:left="360" w:hanging="360"/>
      </w:pPr>
    </w:lvl>
    <w:lvl w:ilvl="1">
      <w:start w:val="1"/>
      <w:numFmt w:val="decimal"/>
      <w:pStyle w:val="NoSpac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287A4E"/>
    <w:multiLevelType w:val="multilevel"/>
    <w:tmpl w:val="B17442B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513CE"/>
    <w:multiLevelType w:val="multilevel"/>
    <w:tmpl w:val="6F1854AC"/>
    <w:lvl w:ilvl="0">
      <w:start w:val="1"/>
      <w:numFmt w:val="decimal"/>
      <w:lvlText w:val="%1."/>
      <w:lvlJc w:val="left"/>
      <w:pPr>
        <w:ind w:left="360" w:hanging="360"/>
      </w:pPr>
      <w:rPr>
        <w:rFonts w:hint="default"/>
      </w:rPr>
    </w:lvl>
    <w:lvl w:ilvl="1">
      <w:start w:val="18"/>
      <w:numFmt w:val="decimal"/>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E93480"/>
    <w:multiLevelType w:val="hybridMultilevel"/>
    <w:tmpl w:val="9FC86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123C3E"/>
    <w:multiLevelType w:val="multilevel"/>
    <w:tmpl w:val="00728488"/>
    <w:lvl w:ilvl="0">
      <w:start w:val="1"/>
      <w:numFmt w:val="decimal"/>
      <w:lvlText w:val="%1."/>
      <w:lvlJc w:val="left"/>
      <w:pPr>
        <w:ind w:left="360" w:hanging="360"/>
      </w:pPr>
      <w:rPr>
        <w:rFonts w:hint="default"/>
      </w:rPr>
    </w:lvl>
    <w:lvl w:ilvl="1">
      <w:start w:val="24"/>
      <w:numFmt w:val="decimal"/>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384203"/>
    <w:multiLevelType w:val="hybridMultilevel"/>
    <w:tmpl w:val="423A190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794598"/>
    <w:multiLevelType w:val="multilevel"/>
    <w:tmpl w:val="3304A7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0329EF"/>
    <w:multiLevelType w:val="multilevel"/>
    <w:tmpl w:val="C1986DC0"/>
    <w:lvl w:ilvl="0">
      <w:start w:val="1"/>
      <w:numFmt w:val="decimal"/>
      <w:lvlText w:val="%1."/>
      <w:lvlJc w:val="left"/>
      <w:pPr>
        <w:ind w:left="360" w:hanging="360"/>
      </w:pPr>
      <w:rPr>
        <w:rFonts w:hint="default"/>
      </w:rPr>
    </w:lvl>
    <w:lvl w:ilvl="1">
      <w:start w:val="6"/>
      <w:numFmt w:val="decimal"/>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0510AF"/>
    <w:multiLevelType w:val="hybridMultilevel"/>
    <w:tmpl w:val="8BB6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559A4"/>
    <w:multiLevelType w:val="hybridMultilevel"/>
    <w:tmpl w:val="442A51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285548922">
    <w:abstractNumId w:val="15"/>
  </w:num>
  <w:num w:numId="2" w16cid:durableId="621768934">
    <w:abstractNumId w:val="9"/>
  </w:num>
  <w:num w:numId="3" w16cid:durableId="15609452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0684950">
    <w:abstractNumId w:val="14"/>
  </w:num>
  <w:num w:numId="5" w16cid:durableId="799886684">
    <w:abstractNumId w:val="7"/>
  </w:num>
  <w:num w:numId="6" w16cid:durableId="1403406458">
    <w:abstractNumId w:val="2"/>
  </w:num>
  <w:num w:numId="7" w16cid:durableId="328362532">
    <w:abstractNumId w:val="8"/>
  </w:num>
  <w:num w:numId="8" w16cid:durableId="1852598065">
    <w:abstractNumId w:val="24"/>
  </w:num>
  <w:num w:numId="9" w16cid:durableId="265578922">
    <w:abstractNumId w:val="23"/>
  </w:num>
  <w:num w:numId="10" w16cid:durableId="570775270">
    <w:abstractNumId w:val="18"/>
  </w:num>
  <w:num w:numId="11" w16cid:durableId="614825141">
    <w:abstractNumId w:val="21"/>
  </w:num>
  <w:num w:numId="12" w16cid:durableId="734006890">
    <w:abstractNumId w:val="22"/>
  </w:num>
  <w:num w:numId="13" w16cid:durableId="253903286">
    <w:abstractNumId w:val="19"/>
  </w:num>
  <w:num w:numId="14" w16cid:durableId="303972366">
    <w:abstractNumId w:val="3"/>
  </w:num>
  <w:num w:numId="15" w16cid:durableId="740491440">
    <w:abstractNumId w:val="17"/>
  </w:num>
  <w:num w:numId="16" w16cid:durableId="355735860">
    <w:abstractNumId w:val="13"/>
  </w:num>
  <w:num w:numId="17" w16cid:durableId="201987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6450889">
    <w:abstractNumId w:val="0"/>
  </w:num>
  <w:num w:numId="19" w16cid:durableId="1006252142">
    <w:abstractNumId w:val="11"/>
  </w:num>
  <w:num w:numId="20" w16cid:durableId="1071005793">
    <w:abstractNumId w:val="4"/>
  </w:num>
  <w:num w:numId="21" w16cid:durableId="1871529759">
    <w:abstractNumId w:val="20"/>
  </w:num>
  <w:num w:numId="22" w16cid:durableId="1401978182">
    <w:abstractNumId w:val="1"/>
  </w:num>
  <w:num w:numId="23" w16cid:durableId="412775057">
    <w:abstractNumId w:val="10"/>
  </w:num>
  <w:num w:numId="24" w16cid:durableId="758985946">
    <w:abstractNumId w:val="16"/>
  </w:num>
  <w:num w:numId="25" w16cid:durableId="785268308">
    <w:abstractNumId w:val="6"/>
  </w:num>
  <w:num w:numId="26" w16cid:durableId="535893578">
    <w:abstractNumId w:val="5"/>
  </w:num>
  <w:num w:numId="27" w16cid:durableId="18594920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59"/>
    <w:rsid w:val="00014367"/>
    <w:rsid w:val="000171EA"/>
    <w:rsid w:val="00020FEE"/>
    <w:rsid w:val="000374A0"/>
    <w:rsid w:val="00041AA7"/>
    <w:rsid w:val="000618BF"/>
    <w:rsid w:val="00063696"/>
    <w:rsid w:val="00070BC3"/>
    <w:rsid w:val="00082580"/>
    <w:rsid w:val="00095D15"/>
    <w:rsid w:val="000A1B81"/>
    <w:rsid w:val="000A216E"/>
    <w:rsid w:val="000A3976"/>
    <w:rsid w:val="000A5631"/>
    <w:rsid w:val="000B239E"/>
    <w:rsid w:val="000B5358"/>
    <w:rsid w:val="000D44CC"/>
    <w:rsid w:val="000E79C3"/>
    <w:rsid w:val="000F1146"/>
    <w:rsid w:val="000F36BD"/>
    <w:rsid w:val="000F426C"/>
    <w:rsid w:val="00100CDF"/>
    <w:rsid w:val="00114EC8"/>
    <w:rsid w:val="0011522F"/>
    <w:rsid w:val="0013056A"/>
    <w:rsid w:val="001326E9"/>
    <w:rsid w:val="00154342"/>
    <w:rsid w:val="00155742"/>
    <w:rsid w:val="00160DCD"/>
    <w:rsid w:val="00163FAC"/>
    <w:rsid w:val="00167EF2"/>
    <w:rsid w:val="00174C3A"/>
    <w:rsid w:val="00174D63"/>
    <w:rsid w:val="001763ED"/>
    <w:rsid w:val="00184B54"/>
    <w:rsid w:val="00195F01"/>
    <w:rsid w:val="00197C43"/>
    <w:rsid w:val="001A2CA4"/>
    <w:rsid w:val="001C480B"/>
    <w:rsid w:val="001D1983"/>
    <w:rsid w:val="001D3263"/>
    <w:rsid w:val="001D3839"/>
    <w:rsid w:val="001E0470"/>
    <w:rsid w:val="001E0F1D"/>
    <w:rsid w:val="001F65FF"/>
    <w:rsid w:val="002015CB"/>
    <w:rsid w:val="002040FC"/>
    <w:rsid w:val="00206B9E"/>
    <w:rsid w:val="00210837"/>
    <w:rsid w:val="00210B9C"/>
    <w:rsid w:val="002168CE"/>
    <w:rsid w:val="00217A85"/>
    <w:rsid w:val="00224BD3"/>
    <w:rsid w:val="00227067"/>
    <w:rsid w:val="00232DE0"/>
    <w:rsid w:val="0023531F"/>
    <w:rsid w:val="0024435E"/>
    <w:rsid w:val="00256B5D"/>
    <w:rsid w:val="00261D97"/>
    <w:rsid w:val="00264078"/>
    <w:rsid w:val="00264A63"/>
    <w:rsid w:val="00265E00"/>
    <w:rsid w:val="00267CD7"/>
    <w:rsid w:val="002722AD"/>
    <w:rsid w:val="002830B0"/>
    <w:rsid w:val="0028397A"/>
    <w:rsid w:val="0028583E"/>
    <w:rsid w:val="002A2E9B"/>
    <w:rsid w:val="002A3765"/>
    <w:rsid w:val="002A65FF"/>
    <w:rsid w:val="002B27FA"/>
    <w:rsid w:val="002D48BE"/>
    <w:rsid w:val="002D4EF7"/>
    <w:rsid w:val="002E1059"/>
    <w:rsid w:val="002F7D89"/>
    <w:rsid w:val="00317EF1"/>
    <w:rsid w:val="00333E0B"/>
    <w:rsid w:val="00340232"/>
    <w:rsid w:val="0034225F"/>
    <w:rsid w:val="003462D2"/>
    <w:rsid w:val="0036570B"/>
    <w:rsid w:val="00375A87"/>
    <w:rsid w:val="00377551"/>
    <w:rsid w:val="00380517"/>
    <w:rsid w:val="00394CD3"/>
    <w:rsid w:val="00397897"/>
    <w:rsid w:val="003A07D4"/>
    <w:rsid w:val="003A0B96"/>
    <w:rsid w:val="003B7366"/>
    <w:rsid w:val="003C03DC"/>
    <w:rsid w:val="003C386B"/>
    <w:rsid w:val="003C4831"/>
    <w:rsid w:val="003C6AB7"/>
    <w:rsid w:val="003D0364"/>
    <w:rsid w:val="003E2789"/>
    <w:rsid w:val="003F00E1"/>
    <w:rsid w:val="003F363A"/>
    <w:rsid w:val="003F3A4B"/>
    <w:rsid w:val="00402798"/>
    <w:rsid w:val="004027CD"/>
    <w:rsid w:val="004057E7"/>
    <w:rsid w:val="004068C0"/>
    <w:rsid w:val="0041361C"/>
    <w:rsid w:val="004144DD"/>
    <w:rsid w:val="0041767F"/>
    <w:rsid w:val="00425843"/>
    <w:rsid w:val="0043197E"/>
    <w:rsid w:val="00435277"/>
    <w:rsid w:val="004442B4"/>
    <w:rsid w:val="004460FC"/>
    <w:rsid w:val="004467A2"/>
    <w:rsid w:val="00450728"/>
    <w:rsid w:val="00453AB4"/>
    <w:rsid w:val="00461EAF"/>
    <w:rsid w:val="0046221B"/>
    <w:rsid w:val="004806ED"/>
    <w:rsid w:val="00482D0F"/>
    <w:rsid w:val="00483FB7"/>
    <w:rsid w:val="004856EE"/>
    <w:rsid w:val="00486398"/>
    <w:rsid w:val="00486FA4"/>
    <w:rsid w:val="004A7498"/>
    <w:rsid w:val="004B1B26"/>
    <w:rsid w:val="004B5227"/>
    <w:rsid w:val="004B7917"/>
    <w:rsid w:val="004C047D"/>
    <w:rsid w:val="004C2240"/>
    <w:rsid w:val="004C4882"/>
    <w:rsid w:val="004C5B8C"/>
    <w:rsid w:val="004D531C"/>
    <w:rsid w:val="004E1241"/>
    <w:rsid w:val="004E5A24"/>
    <w:rsid w:val="004F35E9"/>
    <w:rsid w:val="004F4C76"/>
    <w:rsid w:val="00500741"/>
    <w:rsid w:val="005061E2"/>
    <w:rsid w:val="00511694"/>
    <w:rsid w:val="0051245C"/>
    <w:rsid w:val="005135CB"/>
    <w:rsid w:val="0051365A"/>
    <w:rsid w:val="00516E7F"/>
    <w:rsid w:val="005214E9"/>
    <w:rsid w:val="00525E90"/>
    <w:rsid w:val="00527E5C"/>
    <w:rsid w:val="00530F77"/>
    <w:rsid w:val="005367DD"/>
    <w:rsid w:val="005371DE"/>
    <w:rsid w:val="005424F7"/>
    <w:rsid w:val="00546DE6"/>
    <w:rsid w:val="00550482"/>
    <w:rsid w:val="00550B15"/>
    <w:rsid w:val="00560583"/>
    <w:rsid w:val="0056303A"/>
    <w:rsid w:val="0056426D"/>
    <w:rsid w:val="00564E65"/>
    <w:rsid w:val="00582244"/>
    <w:rsid w:val="00592982"/>
    <w:rsid w:val="00594217"/>
    <w:rsid w:val="00594D3B"/>
    <w:rsid w:val="0059580F"/>
    <w:rsid w:val="00595CDD"/>
    <w:rsid w:val="005A791C"/>
    <w:rsid w:val="005A7E66"/>
    <w:rsid w:val="005B252A"/>
    <w:rsid w:val="005B31D5"/>
    <w:rsid w:val="005C3CA6"/>
    <w:rsid w:val="005C71D2"/>
    <w:rsid w:val="005D29B7"/>
    <w:rsid w:val="005D3E3C"/>
    <w:rsid w:val="005E1E30"/>
    <w:rsid w:val="005E7608"/>
    <w:rsid w:val="005F25D5"/>
    <w:rsid w:val="005F6C4F"/>
    <w:rsid w:val="0061120D"/>
    <w:rsid w:val="00622761"/>
    <w:rsid w:val="0063408D"/>
    <w:rsid w:val="00644D1B"/>
    <w:rsid w:val="006473A2"/>
    <w:rsid w:val="00653603"/>
    <w:rsid w:val="00662E80"/>
    <w:rsid w:val="00672F56"/>
    <w:rsid w:val="00680C6E"/>
    <w:rsid w:val="00697AB2"/>
    <w:rsid w:val="006A7AAA"/>
    <w:rsid w:val="006B09AD"/>
    <w:rsid w:val="006B6049"/>
    <w:rsid w:val="006C78A5"/>
    <w:rsid w:val="006D2703"/>
    <w:rsid w:val="006E7F51"/>
    <w:rsid w:val="006F6BFA"/>
    <w:rsid w:val="006F736E"/>
    <w:rsid w:val="006F792A"/>
    <w:rsid w:val="0070295B"/>
    <w:rsid w:val="00710CB0"/>
    <w:rsid w:val="0071243A"/>
    <w:rsid w:val="00716F23"/>
    <w:rsid w:val="007244D4"/>
    <w:rsid w:val="00734F6E"/>
    <w:rsid w:val="007412E3"/>
    <w:rsid w:val="00761A52"/>
    <w:rsid w:val="007623C2"/>
    <w:rsid w:val="00763C48"/>
    <w:rsid w:val="00767E6B"/>
    <w:rsid w:val="00780317"/>
    <w:rsid w:val="00791FAC"/>
    <w:rsid w:val="007951F9"/>
    <w:rsid w:val="00795ACA"/>
    <w:rsid w:val="007A1473"/>
    <w:rsid w:val="007B0B98"/>
    <w:rsid w:val="007B3722"/>
    <w:rsid w:val="007C45E9"/>
    <w:rsid w:val="007D6EEA"/>
    <w:rsid w:val="007D7E91"/>
    <w:rsid w:val="007E5C1B"/>
    <w:rsid w:val="007F1BDB"/>
    <w:rsid w:val="007F3405"/>
    <w:rsid w:val="0080710F"/>
    <w:rsid w:val="008233C7"/>
    <w:rsid w:val="008279B0"/>
    <w:rsid w:val="00830461"/>
    <w:rsid w:val="00834414"/>
    <w:rsid w:val="00841307"/>
    <w:rsid w:val="00841971"/>
    <w:rsid w:val="0084294E"/>
    <w:rsid w:val="00842EDD"/>
    <w:rsid w:val="00852377"/>
    <w:rsid w:val="0085679D"/>
    <w:rsid w:val="00856859"/>
    <w:rsid w:val="00857682"/>
    <w:rsid w:val="00870B30"/>
    <w:rsid w:val="00873D86"/>
    <w:rsid w:val="00877031"/>
    <w:rsid w:val="00893DD0"/>
    <w:rsid w:val="00896553"/>
    <w:rsid w:val="008B0997"/>
    <w:rsid w:val="008B5A2B"/>
    <w:rsid w:val="008B64E8"/>
    <w:rsid w:val="008C1C46"/>
    <w:rsid w:val="008D4A0C"/>
    <w:rsid w:val="008D781E"/>
    <w:rsid w:val="008E13AE"/>
    <w:rsid w:val="008E3CF5"/>
    <w:rsid w:val="008E512E"/>
    <w:rsid w:val="008F1750"/>
    <w:rsid w:val="008F5B17"/>
    <w:rsid w:val="008F5D5C"/>
    <w:rsid w:val="008F652B"/>
    <w:rsid w:val="00903F2A"/>
    <w:rsid w:val="00905758"/>
    <w:rsid w:val="009118EB"/>
    <w:rsid w:val="00911E44"/>
    <w:rsid w:val="00922779"/>
    <w:rsid w:val="00924564"/>
    <w:rsid w:val="00924D18"/>
    <w:rsid w:val="00927EB0"/>
    <w:rsid w:val="00930155"/>
    <w:rsid w:val="0093440A"/>
    <w:rsid w:val="00943B13"/>
    <w:rsid w:val="009460FB"/>
    <w:rsid w:val="009470C7"/>
    <w:rsid w:val="0095299A"/>
    <w:rsid w:val="00952B6B"/>
    <w:rsid w:val="009567E9"/>
    <w:rsid w:val="009579BB"/>
    <w:rsid w:val="00964353"/>
    <w:rsid w:val="00964FCF"/>
    <w:rsid w:val="009673BE"/>
    <w:rsid w:val="00972BE2"/>
    <w:rsid w:val="00977447"/>
    <w:rsid w:val="00977EE9"/>
    <w:rsid w:val="00981D64"/>
    <w:rsid w:val="009849D2"/>
    <w:rsid w:val="00985C38"/>
    <w:rsid w:val="00993EBA"/>
    <w:rsid w:val="009A6F89"/>
    <w:rsid w:val="009A7A6E"/>
    <w:rsid w:val="009B1C8B"/>
    <w:rsid w:val="009B4613"/>
    <w:rsid w:val="009B7C47"/>
    <w:rsid w:val="009C128D"/>
    <w:rsid w:val="009C43FB"/>
    <w:rsid w:val="009D6228"/>
    <w:rsid w:val="009E47E8"/>
    <w:rsid w:val="009E7F09"/>
    <w:rsid w:val="009F6F89"/>
    <w:rsid w:val="009F784D"/>
    <w:rsid w:val="00A008A6"/>
    <w:rsid w:val="00A029C0"/>
    <w:rsid w:val="00A123D3"/>
    <w:rsid w:val="00A21C93"/>
    <w:rsid w:val="00A23C0D"/>
    <w:rsid w:val="00A2697E"/>
    <w:rsid w:val="00A27C1B"/>
    <w:rsid w:val="00A46247"/>
    <w:rsid w:val="00A463BE"/>
    <w:rsid w:val="00A47245"/>
    <w:rsid w:val="00A51B26"/>
    <w:rsid w:val="00A54E34"/>
    <w:rsid w:val="00A55751"/>
    <w:rsid w:val="00A5775C"/>
    <w:rsid w:val="00A65722"/>
    <w:rsid w:val="00A76642"/>
    <w:rsid w:val="00A871F5"/>
    <w:rsid w:val="00A87436"/>
    <w:rsid w:val="00A92EA2"/>
    <w:rsid w:val="00A96548"/>
    <w:rsid w:val="00A96912"/>
    <w:rsid w:val="00AA0456"/>
    <w:rsid w:val="00AC01B1"/>
    <w:rsid w:val="00AC2AE6"/>
    <w:rsid w:val="00AD6AD2"/>
    <w:rsid w:val="00AE0444"/>
    <w:rsid w:val="00AE1261"/>
    <w:rsid w:val="00AE4E32"/>
    <w:rsid w:val="00AE5050"/>
    <w:rsid w:val="00AE7DCB"/>
    <w:rsid w:val="00B06269"/>
    <w:rsid w:val="00B07DB6"/>
    <w:rsid w:val="00B1195C"/>
    <w:rsid w:val="00B1314E"/>
    <w:rsid w:val="00B13337"/>
    <w:rsid w:val="00B145CF"/>
    <w:rsid w:val="00B210C4"/>
    <w:rsid w:val="00B26C2E"/>
    <w:rsid w:val="00B3705D"/>
    <w:rsid w:val="00B46194"/>
    <w:rsid w:val="00B50A80"/>
    <w:rsid w:val="00B51FDC"/>
    <w:rsid w:val="00B52D59"/>
    <w:rsid w:val="00B55227"/>
    <w:rsid w:val="00B570F6"/>
    <w:rsid w:val="00B61165"/>
    <w:rsid w:val="00B724D7"/>
    <w:rsid w:val="00B73A11"/>
    <w:rsid w:val="00B762C3"/>
    <w:rsid w:val="00B80929"/>
    <w:rsid w:val="00B83366"/>
    <w:rsid w:val="00B84E1D"/>
    <w:rsid w:val="00B92F13"/>
    <w:rsid w:val="00BA3065"/>
    <w:rsid w:val="00BA40F9"/>
    <w:rsid w:val="00BB75E8"/>
    <w:rsid w:val="00BC5EA6"/>
    <w:rsid w:val="00BD5EAC"/>
    <w:rsid w:val="00BE0AAE"/>
    <w:rsid w:val="00BE26BC"/>
    <w:rsid w:val="00BE51E8"/>
    <w:rsid w:val="00BE5EB6"/>
    <w:rsid w:val="00BF1273"/>
    <w:rsid w:val="00BF47DF"/>
    <w:rsid w:val="00C01676"/>
    <w:rsid w:val="00C0764F"/>
    <w:rsid w:val="00C17CA2"/>
    <w:rsid w:val="00C27FD5"/>
    <w:rsid w:val="00C30360"/>
    <w:rsid w:val="00C31D72"/>
    <w:rsid w:val="00C3418B"/>
    <w:rsid w:val="00C434EC"/>
    <w:rsid w:val="00C50A16"/>
    <w:rsid w:val="00C52A04"/>
    <w:rsid w:val="00C55836"/>
    <w:rsid w:val="00C56CA8"/>
    <w:rsid w:val="00C66367"/>
    <w:rsid w:val="00C6686F"/>
    <w:rsid w:val="00C714DD"/>
    <w:rsid w:val="00C80471"/>
    <w:rsid w:val="00C816E4"/>
    <w:rsid w:val="00C872B4"/>
    <w:rsid w:val="00C87AF5"/>
    <w:rsid w:val="00C92F03"/>
    <w:rsid w:val="00CA2CBC"/>
    <w:rsid w:val="00CA2D51"/>
    <w:rsid w:val="00CA52A9"/>
    <w:rsid w:val="00CB480D"/>
    <w:rsid w:val="00CD4685"/>
    <w:rsid w:val="00CD7AC3"/>
    <w:rsid w:val="00CF37FF"/>
    <w:rsid w:val="00CF6B1D"/>
    <w:rsid w:val="00D04870"/>
    <w:rsid w:val="00D055C8"/>
    <w:rsid w:val="00D22CCF"/>
    <w:rsid w:val="00D255B2"/>
    <w:rsid w:val="00D306A2"/>
    <w:rsid w:val="00D57418"/>
    <w:rsid w:val="00D64AB4"/>
    <w:rsid w:val="00D64D81"/>
    <w:rsid w:val="00D66311"/>
    <w:rsid w:val="00D67ACB"/>
    <w:rsid w:val="00D7059A"/>
    <w:rsid w:val="00D70EDF"/>
    <w:rsid w:val="00D72818"/>
    <w:rsid w:val="00D77947"/>
    <w:rsid w:val="00D83BD0"/>
    <w:rsid w:val="00D864BA"/>
    <w:rsid w:val="00DA03F6"/>
    <w:rsid w:val="00DA4803"/>
    <w:rsid w:val="00DB0010"/>
    <w:rsid w:val="00DB429F"/>
    <w:rsid w:val="00DC415E"/>
    <w:rsid w:val="00DC5841"/>
    <w:rsid w:val="00DD1404"/>
    <w:rsid w:val="00DD1F85"/>
    <w:rsid w:val="00DD2535"/>
    <w:rsid w:val="00E13F52"/>
    <w:rsid w:val="00E22CFC"/>
    <w:rsid w:val="00E33378"/>
    <w:rsid w:val="00E366FE"/>
    <w:rsid w:val="00E42832"/>
    <w:rsid w:val="00E514B8"/>
    <w:rsid w:val="00E54BD2"/>
    <w:rsid w:val="00E7346E"/>
    <w:rsid w:val="00EA1555"/>
    <w:rsid w:val="00EA50CD"/>
    <w:rsid w:val="00EA5661"/>
    <w:rsid w:val="00EB3496"/>
    <w:rsid w:val="00EC0899"/>
    <w:rsid w:val="00EC58E4"/>
    <w:rsid w:val="00EC696E"/>
    <w:rsid w:val="00ED4728"/>
    <w:rsid w:val="00ED7D05"/>
    <w:rsid w:val="00EE1A48"/>
    <w:rsid w:val="00EF2680"/>
    <w:rsid w:val="00EF41D3"/>
    <w:rsid w:val="00F120DD"/>
    <w:rsid w:val="00F148CA"/>
    <w:rsid w:val="00F14DA2"/>
    <w:rsid w:val="00F35AE0"/>
    <w:rsid w:val="00F52794"/>
    <w:rsid w:val="00F53DCD"/>
    <w:rsid w:val="00F61B2F"/>
    <w:rsid w:val="00F76216"/>
    <w:rsid w:val="00F90A53"/>
    <w:rsid w:val="00F91E1A"/>
    <w:rsid w:val="00FA4832"/>
    <w:rsid w:val="00FC64C2"/>
    <w:rsid w:val="00FC6715"/>
    <w:rsid w:val="00FD65C0"/>
    <w:rsid w:val="00FE1FF1"/>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C5E36"/>
  <w15:docId w15:val="{B692A02D-6EA7-4418-99D8-D152D5FB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EA"/>
    <w:rPr>
      <w:rFonts w:ascii="Arial" w:hAnsi="Arial"/>
      <w:sz w:val="24"/>
    </w:rPr>
  </w:style>
  <w:style w:type="paragraph" w:styleId="Heading1">
    <w:name w:val="heading 1"/>
    <w:basedOn w:val="Normal"/>
    <w:next w:val="Normal"/>
    <w:link w:val="Heading1Char"/>
    <w:uiPriority w:val="9"/>
    <w:qFormat/>
    <w:rsid w:val="007412E3"/>
    <w:pPr>
      <w:numPr>
        <w:numId w:val="2"/>
      </w:numPr>
      <w:spacing w:before="240" w:after="120" w:line="240" w:lineRule="auto"/>
      <w:ind w:left="709" w:hanging="709"/>
      <w:outlineLvl w:val="0"/>
    </w:pPr>
    <w:rPr>
      <w:b/>
      <w:szCs w:val="32"/>
    </w:rPr>
  </w:style>
  <w:style w:type="paragraph" w:styleId="Heading2">
    <w:name w:val="heading 2"/>
    <w:basedOn w:val="Normal"/>
    <w:next w:val="Normal"/>
    <w:link w:val="Heading2Char"/>
    <w:uiPriority w:val="9"/>
    <w:unhideWhenUsed/>
    <w:qFormat/>
    <w:rsid w:val="00856859"/>
    <w:pPr>
      <w:keepNext/>
      <w:keepLines/>
      <w:numPr>
        <w:ilvl w:val="1"/>
        <w:numId w:val="2"/>
      </w:numPr>
      <w:spacing w:before="240" w:after="120" w:line="240" w:lineRule="auto"/>
      <w:ind w:left="1134" w:hanging="774"/>
      <w:outlineLvl w:val="1"/>
    </w:pPr>
    <w:rPr>
      <w:rFonts w:eastAsiaTheme="majorEastAsia" w:cstheme="majorBidi"/>
      <w:b/>
      <w:bCs/>
      <w:szCs w:val="24"/>
    </w:rPr>
  </w:style>
  <w:style w:type="paragraph" w:styleId="Heading3">
    <w:name w:val="heading 3"/>
    <w:basedOn w:val="Heading2"/>
    <w:next w:val="Normal"/>
    <w:link w:val="Heading3Char"/>
    <w:uiPriority w:val="9"/>
    <w:unhideWhenUsed/>
    <w:qFormat/>
    <w:rsid w:val="00D77947"/>
    <w:pPr>
      <w:numPr>
        <w:ilvl w:val="2"/>
      </w:numPr>
      <w:ind w:left="1701" w:hanging="981"/>
      <w:outlineLvl w:val="2"/>
    </w:pPr>
  </w:style>
  <w:style w:type="paragraph" w:styleId="Heading4">
    <w:name w:val="heading 4"/>
    <w:basedOn w:val="Heading3"/>
    <w:next w:val="Normal"/>
    <w:link w:val="Heading4Char"/>
    <w:uiPriority w:val="9"/>
    <w:unhideWhenUsed/>
    <w:qFormat/>
    <w:rsid w:val="000618BF"/>
    <w:pPr>
      <w:ind w:left="851"/>
      <w:outlineLvl w:val="3"/>
    </w:pPr>
  </w:style>
  <w:style w:type="paragraph" w:styleId="Heading5">
    <w:name w:val="heading 5"/>
    <w:basedOn w:val="Normal"/>
    <w:next w:val="Normal"/>
    <w:link w:val="Heading5Char"/>
    <w:uiPriority w:val="9"/>
    <w:unhideWhenUsed/>
    <w:qFormat/>
    <w:rsid w:val="002A3765"/>
    <w:pPr>
      <w:keepNext/>
      <w:keepLines/>
      <w:spacing w:before="240" w:after="240" w:line="240" w:lineRule="auto"/>
      <w:ind w:left="2976" w:hanging="1009"/>
      <w:contextualSpacing/>
      <w:outlineLvl w:val="4"/>
    </w:pPr>
    <w:rPr>
      <w:rFonts w:eastAsiaTheme="majorEastAsia" w:cs="Arial"/>
      <w:b/>
      <w:sz w:val="28"/>
    </w:rPr>
  </w:style>
  <w:style w:type="paragraph" w:styleId="Heading6">
    <w:name w:val="heading 6"/>
    <w:basedOn w:val="Normal"/>
    <w:next w:val="Normal"/>
    <w:link w:val="Heading6Char"/>
    <w:uiPriority w:val="9"/>
    <w:semiHidden/>
    <w:unhideWhenUsed/>
    <w:qFormat/>
    <w:rsid w:val="002A3765"/>
    <w:pPr>
      <w:keepNext/>
      <w:keepLines/>
      <w:spacing w:before="200" w:after="0"/>
      <w:ind w:left="1152" w:hanging="1152"/>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3765"/>
    <w:pPr>
      <w:keepNext/>
      <w:keepLines/>
      <w:spacing w:before="200" w:after="0"/>
      <w:ind w:left="1296" w:hanging="1296"/>
      <w:contextualSpacing/>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3765"/>
    <w:pPr>
      <w:keepNext/>
      <w:keepLines/>
      <w:spacing w:before="200" w:after="0"/>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3765"/>
    <w:pPr>
      <w:keepNext/>
      <w:keepLines/>
      <w:spacing w:before="200" w:after="0"/>
      <w:ind w:left="1584" w:hanging="1584"/>
      <w:contextualSpacing/>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28D"/>
    <w:pPr>
      <w:numPr>
        <w:numId w:val="4"/>
      </w:numPr>
      <w:spacing w:before="120" w:after="120" w:line="240" w:lineRule="auto"/>
    </w:pPr>
  </w:style>
  <w:style w:type="paragraph" w:styleId="FootnoteText">
    <w:name w:val="footnote text"/>
    <w:basedOn w:val="Normal"/>
    <w:link w:val="FootnoteTextChar"/>
    <w:uiPriority w:val="99"/>
    <w:unhideWhenUsed/>
    <w:rsid w:val="00425843"/>
    <w:pPr>
      <w:spacing w:after="0" w:line="240" w:lineRule="auto"/>
    </w:pPr>
    <w:rPr>
      <w:sz w:val="20"/>
      <w:szCs w:val="20"/>
    </w:rPr>
  </w:style>
  <w:style w:type="character" w:customStyle="1" w:styleId="FootnoteTextChar">
    <w:name w:val="Footnote Text Char"/>
    <w:basedOn w:val="DefaultParagraphFont"/>
    <w:link w:val="FootnoteText"/>
    <w:uiPriority w:val="99"/>
    <w:rsid w:val="00425843"/>
    <w:rPr>
      <w:sz w:val="20"/>
      <w:szCs w:val="20"/>
    </w:rPr>
  </w:style>
  <w:style w:type="character" w:styleId="FootnoteReference">
    <w:name w:val="footnote reference"/>
    <w:basedOn w:val="DefaultParagraphFont"/>
    <w:uiPriority w:val="99"/>
    <w:semiHidden/>
    <w:unhideWhenUsed/>
    <w:rsid w:val="00425843"/>
    <w:rPr>
      <w:vertAlign w:val="superscript"/>
    </w:rPr>
  </w:style>
  <w:style w:type="table" w:styleId="TableGrid">
    <w:name w:val="Table Grid"/>
    <w:basedOn w:val="TableNormal"/>
    <w:uiPriority w:val="59"/>
    <w:rsid w:val="0085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12E3"/>
    <w:rPr>
      <w:rFonts w:ascii="Arial" w:hAnsi="Arial"/>
      <w:b/>
      <w:sz w:val="24"/>
      <w:szCs w:val="32"/>
    </w:rPr>
  </w:style>
  <w:style w:type="paragraph" w:styleId="Header">
    <w:name w:val="header"/>
    <w:basedOn w:val="Normal"/>
    <w:link w:val="HeaderChar"/>
    <w:uiPriority w:val="99"/>
    <w:unhideWhenUsed/>
    <w:rsid w:val="00BB7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5E8"/>
  </w:style>
  <w:style w:type="paragraph" w:styleId="Footer">
    <w:name w:val="footer"/>
    <w:basedOn w:val="Normal"/>
    <w:link w:val="FooterChar"/>
    <w:uiPriority w:val="99"/>
    <w:unhideWhenUsed/>
    <w:rsid w:val="00BB7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5E8"/>
  </w:style>
  <w:style w:type="paragraph" w:styleId="NoSpacing">
    <w:name w:val="No Spacing"/>
    <w:uiPriority w:val="1"/>
    <w:qFormat/>
    <w:rsid w:val="00BB75E8"/>
    <w:pPr>
      <w:numPr>
        <w:ilvl w:val="1"/>
        <w:numId w:val="1"/>
      </w:numPr>
      <w:spacing w:after="0" w:line="240" w:lineRule="auto"/>
      <w:contextualSpacing/>
    </w:pPr>
  </w:style>
  <w:style w:type="character" w:styleId="Strong">
    <w:name w:val="Strong"/>
    <w:basedOn w:val="DefaultParagraphFont"/>
    <w:uiPriority w:val="22"/>
    <w:qFormat/>
    <w:rsid w:val="00BB75E8"/>
    <w:rPr>
      <w:b/>
      <w:bCs/>
    </w:rPr>
  </w:style>
  <w:style w:type="character" w:styleId="Hyperlink">
    <w:name w:val="Hyperlink"/>
    <w:basedOn w:val="DefaultParagraphFont"/>
    <w:uiPriority w:val="99"/>
    <w:unhideWhenUsed/>
    <w:rsid w:val="003462D2"/>
    <w:rPr>
      <w:color w:val="0000FF" w:themeColor="hyperlink"/>
      <w:u w:val="single"/>
    </w:rPr>
  </w:style>
  <w:style w:type="character" w:customStyle="1" w:styleId="Heading2Char">
    <w:name w:val="Heading 2 Char"/>
    <w:basedOn w:val="DefaultParagraphFont"/>
    <w:link w:val="Heading2"/>
    <w:uiPriority w:val="9"/>
    <w:rsid w:val="00856859"/>
    <w:rPr>
      <w:rFonts w:ascii="Arial" w:eastAsiaTheme="majorEastAsia" w:hAnsi="Arial" w:cstheme="majorBidi"/>
      <w:b/>
      <w:bCs/>
      <w:sz w:val="24"/>
      <w:szCs w:val="24"/>
    </w:rPr>
  </w:style>
  <w:style w:type="character" w:customStyle="1" w:styleId="Heading3Char">
    <w:name w:val="Heading 3 Char"/>
    <w:basedOn w:val="DefaultParagraphFont"/>
    <w:link w:val="Heading3"/>
    <w:uiPriority w:val="9"/>
    <w:rsid w:val="00D77947"/>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0618BF"/>
    <w:rPr>
      <w:rFonts w:ascii="Arial" w:eastAsiaTheme="majorEastAsia" w:hAnsi="Arial" w:cstheme="majorBidi"/>
      <w:b/>
      <w:bCs/>
      <w:sz w:val="24"/>
      <w:szCs w:val="24"/>
    </w:rPr>
  </w:style>
  <w:style w:type="character" w:styleId="CommentReference">
    <w:name w:val="annotation reference"/>
    <w:basedOn w:val="DefaultParagraphFont"/>
    <w:uiPriority w:val="99"/>
    <w:semiHidden/>
    <w:unhideWhenUsed/>
    <w:rsid w:val="004E1241"/>
    <w:rPr>
      <w:sz w:val="16"/>
      <w:szCs w:val="16"/>
    </w:rPr>
  </w:style>
  <w:style w:type="paragraph" w:styleId="CommentText">
    <w:name w:val="annotation text"/>
    <w:basedOn w:val="Normal"/>
    <w:link w:val="CommentTextChar"/>
    <w:uiPriority w:val="99"/>
    <w:semiHidden/>
    <w:unhideWhenUsed/>
    <w:rsid w:val="004E1241"/>
    <w:pPr>
      <w:spacing w:line="240" w:lineRule="auto"/>
    </w:pPr>
    <w:rPr>
      <w:sz w:val="20"/>
      <w:szCs w:val="20"/>
    </w:rPr>
  </w:style>
  <w:style w:type="character" w:customStyle="1" w:styleId="CommentTextChar">
    <w:name w:val="Comment Text Char"/>
    <w:basedOn w:val="DefaultParagraphFont"/>
    <w:link w:val="CommentText"/>
    <w:uiPriority w:val="99"/>
    <w:semiHidden/>
    <w:rsid w:val="004E12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1241"/>
    <w:rPr>
      <w:b/>
      <w:bCs/>
    </w:rPr>
  </w:style>
  <w:style w:type="character" w:customStyle="1" w:styleId="CommentSubjectChar">
    <w:name w:val="Comment Subject Char"/>
    <w:basedOn w:val="CommentTextChar"/>
    <w:link w:val="CommentSubject"/>
    <w:uiPriority w:val="99"/>
    <w:semiHidden/>
    <w:rsid w:val="004E1241"/>
    <w:rPr>
      <w:rFonts w:ascii="Arial" w:hAnsi="Arial"/>
      <w:b/>
      <w:bCs/>
      <w:sz w:val="20"/>
      <w:szCs w:val="20"/>
    </w:rPr>
  </w:style>
  <w:style w:type="paragraph" w:styleId="BalloonText">
    <w:name w:val="Balloon Text"/>
    <w:basedOn w:val="Normal"/>
    <w:link w:val="BalloonTextChar"/>
    <w:uiPriority w:val="99"/>
    <w:semiHidden/>
    <w:unhideWhenUsed/>
    <w:rsid w:val="004E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41"/>
    <w:rPr>
      <w:rFonts w:ascii="Tahoma" w:hAnsi="Tahoma" w:cs="Tahoma"/>
      <w:sz w:val="16"/>
      <w:szCs w:val="16"/>
    </w:rPr>
  </w:style>
  <w:style w:type="paragraph" w:styleId="TOCHeading">
    <w:name w:val="TOC Heading"/>
    <w:basedOn w:val="Heading1"/>
    <w:next w:val="Normal"/>
    <w:uiPriority w:val="39"/>
    <w:unhideWhenUsed/>
    <w:qFormat/>
    <w:rsid w:val="00C92F03"/>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92F03"/>
    <w:pPr>
      <w:spacing w:after="100"/>
    </w:pPr>
  </w:style>
  <w:style w:type="paragraph" w:styleId="TOC2">
    <w:name w:val="toc 2"/>
    <w:basedOn w:val="Normal"/>
    <w:next w:val="Normal"/>
    <w:autoRedefine/>
    <w:uiPriority w:val="39"/>
    <w:unhideWhenUsed/>
    <w:rsid w:val="00C92F03"/>
    <w:pPr>
      <w:spacing w:after="100"/>
      <w:ind w:left="240"/>
    </w:pPr>
  </w:style>
  <w:style w:type="paragraph" w:styleId="TOC3">
    <w:name w:val="toc 3"/>
    <w:basedOn w:val="Normal"/>
    <w:next w:val="Normal"/>
    <w:autoRedefine/>
    <w:uiPriority w:val="39"/>
    <w:unhideWhenUsed/>
    <w:rsid w:val="00C92F03"/>
    <w:pPr>
      <w:spacing w:after="100"/>
      <w:ind w:left="480"/>
    </w:pPr>
  </w:style>
  <w:style w:type="character" w:customStyle="1" w:styleId="Heading5Char">
    <w:name w:val="Heading 5 Char"/>
    <w:basedOn w:val="DefaultParagraphFont"/>
    <w:link w:val="Heading5"/>
    <w:uiPriority w:val="9"/>
    <w:rsid w:val="002A3765"/>
    <w:rPr>
      <w:rFonts w:ascii="Arial" w:eastAsiaTheme="majorEastAsia" w:hAnsi="Arial" w:cs="Arial"/>
      <w:b/>
      <w:sz w:val="28"/>
    </w:rPr>
  </w:style>
  <w:style w:type="character" w:customStyle="1" w:styleId="Heading6Char">
    <w:name w:val="Heading 6 Char"/>
    <w:basedOn w:val="DefaultParagraphFont"/>
    <w:link w:val="Heading6"/>
    <w:uiPriority w:val="9"/>
    <w:semiHidden/>
    <w:rsid w:val="002A376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A376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A37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376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A3765"/>
    <w:pPr>
      <w:spacing w:after="240"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29672">
      <w:bodyDiv w:val="1"/>
      <w:marLeft w:val="0"/>
      <w:marRight w:val="0"/>
      <w:marTop w:val="0"/>
      <w:marBottom w:val="0"/>
      <w:divBdr>
        <w:top w:val="none" w:sz="0" w:space="0" w:color="auto"/>
        <w:left w:val="none" w:sz="0" w:space="0" w:color="auto"/>
        <w:bottom w:val="none" w:sz="0" w:space="0" w:color="auto"/>
        <w:right w:val="none" w:sz="0" w:space="0" w:color="auto"/>
      </w:divBdr>
    </w:div>
    <w:div w:id="814686870">
      <w:bodyDiv w:val="1"/>
      <w:marLeft w:val="0"/>
      <w:marRight w:val="0"/>
      <w:marTop w:val="0"/>
      <w:marBottom w:val="0"/>
      <w:divBdr>
        <w:top w:val="none" w:sz="0" w:space="0" w:color="auto"/>
        <w:left w:val="none" w:sz="0" w:space="0" w:color="auto"/>
        <w:bottom w:val="none" w:sz="0" w:space="0" w:color="auto"/>
        <w:right w:val="none" w:sz="0" w:space="0" w:color="auto"/>
      </w:divBdr>
    </w:div>
    <w:div w:id="1188374635">
      <w:bodyDiv w:val="1"/>
      <w:marLeft w:val="0"/>
      <w:marRight w:val="0"/>
      <w:marTop w:val="0"/>
      <w:marBottom w:val="0"/>
      <w:divBdr>
        <w:top w:val="none" w:sz="0" w:space="0" w:color="auto"/>
        <w:left w:val="none" w:sz="0" w:space="0" w:color="auto"/>
        <w:bottom w:val="none" w:sz="0" w:space="0" w:color="auto"/>
        <w:right w:val="none" w:sz="0" w:space="0" w:color="auto"/>
      </w:divBdr>
    </w:div>
    <w:div w:id="1196192774">
      <w:bodyDiv w:val="1"/>
      <w:marLeft w:val="0"/>
      <w:marRight w:val="0"/>
      <w:marTop w:val="0"/>
      <w:marBottom w:val="0"/>
      <w:divBdr>
        <w:top w:val="none" w:sz="0" w:space="0" w:color="auto"/>
        <w:left w:val="none" w:sz="0" w:space="0" w:color="auto"/>
        <w:bottom w:val="none" w:sz="0" w:space="0" w:color="auto"/>
        <w:right w:val="none" w:sz="0" w:space="0" w:color="auto"/>
      </w:divBdr>
    </w:div>
    <w:div w:id="1226144258">
      <w:bodyDiv w:val="1"/>
      <w:marLeft w:val="0"/>
      <w:marRight w:val="0"/>
      <w:marTop w:val="0"/>
      <w:marBottom w:val="0"/>
      <w:divBdr>
        <w:top w:val="none" w:sz="0" w:space="0" w:color="auto"/>
        <w:left w:val="none" w:sz="0" w:space="0" w:color="auto"/>
        <w:bottom w:val="none" w:sz="0" w:space="0" w:color="auto"/>
        <w:right w:val="none" w:sz="0" w:space="0" w:color="auto"/>
      </w:divBdr>
    </w:div>
    <w:div w:id="1381903718">
      <w:bodyDiv w:val="1"/>
      <w:marLeft w:val="0"/>
      <w:marRight w:val="0"/>
      <w:marTop w:val="0"/>
      <w:marBottom w:val="0"/>
      <w:divBdr>
        <w:top w:val="none" w:sz="0" w:space="0" w:color="auto"/>
        <w:left w:val="none" w:sz="0" w:space="0" w:color="auto"/>
        <w:bottom w:val="none" w:sz="0" w:space="0" w:color="auto"/>
        <w:right w:val="none" w:sz="0" w:space="0" w:color="auto"/>
      </w:divBdr>
    </w:div>
    <w:div w:id="1444963515">
      <w:bodyDiv w:val="1"/>
      <w:marLeft w:val="0"/>
      <w:marRight w:val="0"/>
      <w:marTop w:val="0"/>
      <w:marBottom w:val="0"/>
      <w:divBdr>
        <w:top w:val="none" w:sz="0" w:space="0" w:color="auto"/>
        <w:left w:val="none" w:sz="0" w:space="0" w:color="auto"/>
        <w:bottom w:val="none" w:sz="0" w:space="0" w:color="auto"/>
        <w:right w:val="none" w:sz="0" w:space="0" w:color="auto"/>
      </w:divBdr>
    </w:div>
    <w:div w:id="1564636600">
      <w:bodyDiv w:val="1"/>
      <w:marLeft w:val="0"/>
      <w:marRight w:val="0"/>
      <w:marTop w:val="0"/>
      <w:marBottom w:val="0"/>
      <w:divBdr>
        <w:top w:val="none" w:sz="0" w:space="0" w:color="auto"/>
        <w:left w:val="none" w:sz="0" w:space="0" w:color="auto"/>
        <w:bottom w:val="none" w:sz="0" w:space="0" w:color="auto"/>
        <w:right w:val="none" w:sz="0" w:space="0" w:color="auto"/>
      </w:divBdr>
    </w:div>
    <w:div w:id="1587417575">
      <w:bodyDiv w:val="1"/>
      <w:marLeft w:val="0"/>
      <w:marRight w:val="0"/>
      <w:marTop w:val="0"/>
      <w:marBottom w:val="0"/>
      <w:divBdr>
        <w:top w:val="none" w:sz="0" w:space="0" w:color="auto"/>
        <w:left w:val="none" w:sz="0" w:space="0" w:color="auto"/>
        <w:bottom w:val="none" w:sz="0" w:space="0" w:color="auto"/>
        <w:right w:val="none" w:sz="0" w:space="0" w:color="auto"/>
      </w:divBdr>
    </w:div>
    <w:div w:id="1608193403">
      <w:bodyDiv w:val="1"/>
      <w:marLeft w:val="0"/>
      <w:marRight w:val="0"/>
      <w:marTop w:val="0"/>
      <w:marBottom w:val="0"/>
      <w:divBdr>
        <w:top w:val="none" w:sz="0" w:space="0" w:color="auto"/>
        <w:left w:val="none" w:sz="0" w:space="0" w:color="auto"/>
        <w:bottom w:val="none" w:sz="0" w:space="0" w:color="auto"/>
        <w:right w:val="none" w:sz="0" w:space="0" w:color="auto"/>
      </w:divBdr>
    </w:div>
    <w:div w:id="1657565847">
      <w:bodyDiv w:val="1"/>
      <w:marLeft w:val="0"/>
      <w:marRight w:val="0"/>
      <w:marTop w:val="0"/>
      <w:marBottom w:val="0"/>
      <w:divBdr>
        <w:top w:val="none" w:sz="0" w:space="0" w:color="auto"/>
        <w:left w:val="none" w:sz="0" w:space="0" w:color="auto"/>
        <w:bottom w:val="none" w:sz="0" w:space="0" w:color="auto"/>
        <w:right w:val="none" w:sz="0" w:space="0" w:color="auto"/>
      </w:divBdr>
    </w:div>
    <w:div w:id="1765151671">
      <w:bodyDiv w:val="1"/>
      <w:marLeft w:val="0"/>
      <w:marRight w:val="0"/>
      <w:marTop w:val="0"/>
      <w:marBottom w:val="0"/>
      <w:divBdr>
        <w:top w:val="none" w:sz="0" w:space="0" w:color="auto"/>
        <w:left w:val="none" w:sz="0" w:space="0" w:color="auto"/>
        <w:bottom w:val="none" w:sz="0" w:space="0" w:color="auto"/>
        <w:right w:val="none" w:sz="0" w:space="0" w:color="auto"/>
      </w:divBdr>
    </w:div>
    <w:div w:id="1806508515">
      <w:bodyDiv w:val="1"/>
      <w:marLeft w:val="0"/>
      <w:marRight w:val="0"/>
      <w:marTop w:val="0"/>
      <w:marBottom w:val="0"/>
      <w:divBdr>
        <w:top w:val="none" w:sz="0" w:space="0" w:color="auto"/>
        <w:left w:val="none" w:sz="0" w:space="0" w:color="auto"/>
        <w:bottom w:val="none" w:sz="0" w:space="0" w:color="auto"/>
        <w:right w:val="none" w:sz="0" w:space="0" w:color="auto"/>
      </w:divBdr>
    </w:div>
    <w:div w:id="1828088880">
      <w:bodyDiv w:val="1"/>
      <w:marLeft w:val="0"/>
      <w:marRight w:val="0"/>
      <w:marTop w:val="0"/>
      <w:marBottom w:val="0"/>
      <w:divBdr>
        <w:top w:val="none" w:sz="0" w:space="0" w:color="auto"/>
        <w:left w:val="none" w:sz="0" w:space="0" w:color="auto"/>
        <w:bottom w:val="none" w:sz="0" w:space="0" w:color="auto"/>
        <w:right w:val="none" w:sz="0" w:space="0" w:color="auto"/>
      </w:divBdr>
    </w:div>
    <w:div w:id="1914974297">
      <w:bodyDiv w:val="1"/>
      <w:marLeft w:val="0"/>
      <w:marRight w:val="0"/>
      <w:marTop w:val="0"/>
      <w:marBottom w:val="0"/>
      <w:divBdr>
        <w:top w:val="none" w:sz="0" w:space="0" w:color="auto"/>
        <w:left w:val="none" w:sz="0" w:space="0" w:color="auto"/>
        <w:bottom w:val="none" w:sz="0" w:space="0" w:color="auto"/>
        <w:right w:val="none" w:sz="0" w:space="0" w:color="auto"/>
      </w:divBdr>
    </w:div>
    <w:div w:id="1940219005">
      <w:bodyDiv w:val="1"/>
      <w:marLeft w:val="0"/>
      <w:marRight w:val="0"/>
      <w:marTop w:val="0"/>
      <w:marBottom w:val="0"/>
      <w:divBdr>
        <w:top w:val="none" w:sz="0" w:space="0" w:color="auto"/>
        <w:left w:val="none" w:sz="0" w:space="0" w:color="auto"/>
        <w:bottom w:val="none" w:sz="0" w:space="0" w:color="auto"/>
        <w:right w:val="none" w:sz="0" w:space="0" w:color="auto"/>
      </w:divBdr>
    </w:div>
    <w:div w:id="2026588056">
      <w:bodyDiv w:val="1"/>
      <w:marLeft w:val="0"/>
      <w:marRight w:val="0"/>
      <w:marTop w:val="0"/>
      <w:marBottom w:val="0"/>
      <w:divBdr>
        <w:top w:val="none" w:sz="0" w:space="0" w:color="auto"/>
        <w:left w:val="none" w:sz="0" w:space="0" w:color="auto"/>
        <w:bottom w:val="none" w:sz="0" w:space="0" w:color="auto"/>
        <w:right w:val="none" w:sz="0" w:space="0" w:color="auto"/>
      </w:divBdr>
    </w:div>
    <w:div w:id="20298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ncaster.gov.uk/services/the-council-democracy/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governance@donca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governance@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A7A0FC196B944FA98E2708C67D0D69" ma:contentTypeVersion="8" ma:contentTypeDescription="Create a new document." ma:contentTypeScope="" ma:versionID="385dc89c4ea7a2b872b908dddfe84ee2">
  <xsd:schema xmlns:xsd="http://www.w3.org/2001/XMLSchema" xmlns:xs="http://www.w3.org/2001/XMLSchema" xmlns:p="http://schemas.microsoft.com/office/2006/metadata/properties" xmlns:ns2="49593ef8-7b78-46e6-8840-8d8214785fe3" xmlns:ns3="4926b082-e7fa-426a-9e6e-31ef938cfc75" targetNamespace="http://schemas.microsoft.com/office/2006/metadata/properties" ma:root="true" ma:fieldsID="1a46bedd23a95702b78fe3c3596ca470" ns2:_="" ns3:_="">
    <xsd:import namespace="49593ef8-7b78-46e6-8840-8d8214785fe3"/>
    <xsd:import namespace="4926b082-e7fa-426a-9e6e-31ef938cf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3ef8-7b78-46e6-8840-8d8214785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6b082-e7fa-426a-9e6e-31ef938cfc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D7CAA-79DC-4BCE-AD30-5E6284DF5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E4DB5-0165-4206-8E18-A0FA4EA868B2}">
  <ds:schemaRefs>
    <ds:schemaRef ds:uri="http://schemas.microsoft.com/sharepoint/v3/contenttype/forms"/>
  </ds:schemaRefs>
</ds:datastoreItem>
</file>

<file path=customXml/itemProps3.xml><?xml version="1.0" encoding="utf-8"?>
<ds:datastoreItem xmlns:ds="http://schemas.openxmlformats.org/officeDocument/2006/customXml" ds:itemID="{33DCC1FF-78D5-455D-8B09-5FB9863BE739}">
  <ds:schemaRefs>
    <ds:schemaRef ds:uri="http://schemas.openxmlformats.org/officeDocument/2006/bibliography"/>
  </ds:schemaRefs>
</ds:datastoreItem>
</file>

<file path=customXml/itemProps4.xml><?xml version="1.0" encoding="utf-8"?>
<ds:datastoreItem xmlns:ds="http://schemas.openxmlformats.org/officeDocument/2006/customXml" ds:itemID="{432CD6D0-A218-4729-A745-FCF4A8D9E5BD}"/>
</file>

<file path=docProps/app.xml><?xml version="1.0" encoding="utf-8"?>
<Properties xmlns="http://schemas.openxmlformats.org/officeDocument/2006/extended-properties" xmlns:vt="http://schemas.openxmlformats.org/officeDocument/2006/docPropsVTypes">
  <Template>Normal</Template>
  <TotalTime>10</TotalTime>
  <Pages>9</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Palmer-Dunk, Daniel</dc:creator>
  <cp:lastModifiedBy>Corbett, Sarah</cp:lastModifiedBy>
  <cp:revision>12</cp:revision>
  <cp:lastPrinted>2021-02-25T16:31:00Z</cp:lastPrinted>
  <dcterms:created xsi:type="dcterms:W3CDTF">2023-10-27T08:30:00Z</dcterms:created>
  <dcterms:modified xsi:type="dcterms:W3CDTF">2023-11-14T15:57:00Z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0x01010073A7A0FC196B944FA98E2708C67D0D69</vt:lpwstr>
  </property>
</Properties>
</file>